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Проект договора подряда № ______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Владивосток                                 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                «____» _________________ 2026г.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jc w:val="right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contextualSpacing/>
        <w:ind w:firstLine="709"/>
        <w:spacing w:line="240" w:lineRule="auto"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Акционерное общество «Дальневосточная генерирующая компания» (АО «ДГК»), именуемое в дальнейшем «Заказчик», в лице _________________________________________, действующего на осн</w:t>
      </w:r>
      <w:r>
        <w:rPr>
          <w:rFonts w:eastAsia="Calibri"/>
          <w:sz w:val="24"/>
          <w:szCs w:val="24"/>
          <w:lang w:eastAsia="en-US"/>
        </w:rPr>
        <w:t xml:space="preserve">овании _______________________________, с одной стороны, и _______________________________, именуемое в дальнейшем «Подрядчик», в лице __________________________________, действующего на основании ___________, с другой стороны, совместно именуемые в дальне</w:t>
      </w:r>
      <w:r>
        <w:rPr>
          <w:rFonts w:eastAsia="Calibri"/>
          <w:sz w:val="24"/>
          <w:szCs w:val="24"/>
          <w:lang w:eastAsia="en-US"/>
        </w:rPr>
        <w:t xml:space="preserve">йшем «Стороны», а по отдельности – «Сторона», по результатам проведенной Заказчиком конкурентной процедуры по лоту №11037008-РЕМ ПРОД-2026-ДГК-ПТС, на основании Протокола __________от ________ , заключили настоящий договор (далее</w:t>
      </w:r>
      <w:r>
        <w:rPr>
          <w:rFonts w:eastAsia="Calibri"/>
          <w:sz w:val="24"/>
          <w:szCs w:val="24"/>
          <w:lang w:eastAsia="en-US"/>
        </w:rPr>
        <w:t xml:space="preserve"> – «Договор») о нижеследующем: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1027"/>
        <w:ind w:firstLine="708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43"/>
        <w:ind w:left="0"/>
        <w:jc w:val="center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Термины и определения</w:t>
      </w:r>
      <w:r>
        <w:rPr>
          <w:bCs/>
        </w:rPr>
      </w:r>
      <w:r>
        <w:rPr>
          <w:bCs/>
        </w:rPr>
      </w:r>
    </w:p>
    <w:p>
      <w:pPr>
        <w:pStyle w:val="1043"/>
        <w:ind w:left="0"/>
        <w:jc w:val="center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27"/>
        <w:ind w:firstLine="708"/>
        <w:rPr>
          <w:color w:val="auto"/>
        </w:rPr>
      </w:pPr>
      <w:r>
        <w:rPr>
          <w:color w:val="auto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</w:rPr>
      </w:r>
      <w:r>
        <w:rPr>
          <w:color w:val="auto"/>
        </w:rPr>
      </w:r>
    </w:p>
    <w:p>
      <w:pPr>
        <w:pStyle w:val="1043"/>
        <w:ind w:left="0" w:firstLine="708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 xml:space="preserve">«Акт КС-2», «Справка КС-3» – 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sz w:val="23"/>
          <w:szCs w:val="23"/>
          <w:lang w:eastAsia="en-US"/>
        </w:rPr>
      </w:r>
      <w:r>
        <w:rPr>
          <w:sz w:val="23"/>
          <w:szCs w:val="23"/>
          <w:lang w:eastAsia="en-US"/>
        </w:rPr>
      </w:r>
    </w:p>
    <w:p>
      <w:pPr>
        <w:ind w:firstLine="708"/>
        <w:spacing w:line="240" w:lineRule="auto"/>
        <w:rPr>
          <w:sz w:val="23"/>
          <w:szCs w:val="23"/>
        </w:rPr>
      </w:pPr>
      <w:r>
        <w:rPr>
          <w:sz w:val="23"/>
          <w:szCs w:val="23"/>
          <w:lang w:eastAsia="en-US"/>
        </w:rPr>
        <w:t xml:space="preserve">«Акт ОС-3» – документ, оформляемый по унифицированной форме № ОС-3 «А</w:t>
      </w:r>
      <w:r>
        <w:rPr>
          <w:sz w:val="23"/>
          <w:szCs w:val="23"/>
        </w:rPr>
        <w:t xml:space="preserve">кт</w:t>
      </w:r>
      <w:r>
        <w:rPr>
          <w:bCs/>
          <w:sz w:val="23"/>
          <w:szCs w:val="23"/>
        </w:rPr>
        <w:t xml:space="preserve"> о приеме-сдаче отремонтированных, реконструированных, модернизированных объектов основных средств,</w:t>
      </w:r>
      <w:r>
        <w:t xml:space="preserve"> </w:t>
      </w:r>
      <w:r>
        <w:rPr>
          <w:bCs/>
          <w:sz w:val="23"/>
          <w:szCs w:val="23"/>
        </w:rPr>
        <w:t xml:space="preserve">утвержденной постановлением Госкомстата РФ от 21.01.2003 № 7.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 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«Договор»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«Исполнительн</w:t>
      </w:r>
      <w:bookmarkStart w:id="0" w:name="OCRUncertain148"/>
      <w:r>
        <w:rPr>
          <w:lang w:eastAsia="en-US"/>
        </w:rPr>
        <w:t xml:space="preserve">а</w:t>
      </w:r>
      <w:bookmarkEnd w:id="0"/>
      <w:r>
        <w:rPr>
          <w:lang w:eastAsia="en-US"/>
        </w:rPr>
        <w:t xml:space="preserve">я док</w:t>
      </w:r>
      <w:bookmarkStart w:id="1" w:name="OCRUncertain149"/>
      <w:r>
        <w:rPr>
          <w:lang w:eastAsia="en-US"/>
        </w:rPr>
        <w:t xml:space="preserve">у</w:t>
      </w:r>
      <w:bookmarkEnd w:id="1"/>
      <w:r>
        <w:rPr>
          <w:lang w:eastAsia="en-US"/>
        </w:rPr>
        <w:t xml:space="preserve">м</w:t>
      </w:r>
      <w:bookmarkStart w:id="2" w:name="OCRUncertain150"/>
      <w:r>
        <w:rPr>
          <w:lang w:eastAsia="en-US"/>
        </w:rPr>
        <w:t xml:space="preserve">е</w:t>
      </w:r>
      <w:bookmarkEnd w:id="2"/>
      <w:r>
        <w:rPr>
          <w:lang w:eastAsia="en-US"/>
        </w:rPr>
        <w:t xml:space="preserve">нтац</w:t>
      </w:r>
      <w:bookmarkStart w:id="3" w:name="OCRUncertain151"/>
      <w:r>
        <w:rPr>
          <w:lang w:eastAsia="en-US"/>
        </w:rPr>
        <w:t xml:space="preserve">и</w:t>
      </w:r>
      <w:bookmarkEnd w:id="3"/>
      <w:r>
        <w:rPr>
          <w:lang w:eastAsia="en-US"/>
        </w:rPr>
        <w:t xml:space="preserve">я» 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t xml:space="preserve"> </w:t>
      </w:r>
      <w:r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9"/>
        <w:jc w:val="both"/>
        <w:shd w:val="clear" w:color="auto" w:fill="ffffff"/>
        <w:widowControl w:val="off"/>
        <w:tabs>
          <w:tab w:val="left" w:pos="0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Перечень исполнительной документации, утвержденный Заказчиком указан в Техническом задании (Приложение №1 к Договору).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lang w:eastAsia="en-US"/>
        </w:rPr>
        <w:t xml:space="preserve">Исполнительная документация предъявляется Подрядчиком при освидетельствовании выполненных работ, предусмотренных Договоро</w:t>
      </w:r>
      <w:r>
        <w:rPr>
          <w:highlight w:val="white"/>
          <w:lang w:eastAsia="en-US"/>
        </w:rPr>
        <w:t xml:space="preserve">м, а также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«Коммерческая тайн</w:t>
      </w:r>
      <w:r>
        <w:rPr>
          <w:lang w:eastAsia="en-US"/>
        </w:rPr>
        <w:t xml:space="preserve">а»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«Лимит на непредвиденные работы и затраты» – резерв средств на работы и затраты, предназначенный для возмещения стоимости работ и затрат, потребность в которых возникает </w:t>
      </w:r>
      <w:r>
        <w:rPr>
          <w:lang w:eastAsia="en-US"/>
        </w:rPr>
        <w:t xml:space="preserve">у Подрядчика в процессе выполнения Работ по Договору.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lang w:eastAsia="en-US"/>
        </w:rPr>
        <w:t xml:space="preserve">«Материально-технические ресурсы» – всевозможные материалы,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</w:t>
      </w:r>
      <w:r>
        <w:rPr>
          <w:highlight w:val="white"/>
          <w:lang w:eastAsia="en-US"/>
        </w:rPr>
        <w:t xml:space="preserve">азо</w:t>
      </w:r>
      <w:r>
        <w:rPr>
          <w:highlight w:val="white"/>
          <w:lang w:eastAsia="en-US"/>
        </w:rPr>
        <w:t xml:space="preserve">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</w:t>
      </w:r>
      <w:r>
        <w:rPr>
          <w:highlight w:val="white"/>
          <w:lang w:eastAsia="en-US"/>
        </w:rPr>
        <w:t xml:space="preserve">луатации Объекта.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  <w14:ligatures w14:val="none"/>
        </w:rPr>
      </w:pPr>
      <w:r>
        <w:rPr>
          <w:highlight w:val="white"/>
          <w:lang w:eastAsia="en-US"/>
        </w:rPr>
        <w:t xml:space="preserve">«Объект» – тепловая сеть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01-38 ТК17-ТК18 по ул. пл. Ленина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инв. №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00000000000000034959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rPr>
          <w:highlight w:val="white"/>
          <w:lang w:eastAsia="en-US"/>
        </w:rPr>
        <w:t xml:space="preserve">тепловая сеть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02-17 ул. Ярославская - Любава ТК3 - ТК4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инв. №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00000000000000034704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, </w:t>
      </w:r>
      <w:r>
        <w:rPr>
          <w:highlight w:val="white"/>
          <w:lang w:eastAsia="en-US"/>
        </w:rPr>
        <w:t xml:space="preserve">тепловая сеть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№04-12 ул. Днепростроевская ТК7 - ТК40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(инв. №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00000000000000034512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white"/>
        </w:rPr>
        <w:t xml:space="preserve"> </w:t>
      </w:r>
      <w:r>
        <w:t xml:space="preserve">расположенные в г. Артеме)</w:t>
      </w:r>
      <w:r>
        <w:rPr>
          <w:lang w:eastAsia="en-US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«Отказ от Договора» – односторонний внесудебный отказ от исполнения Договора, совершенный Стороной в соответствии со статьей 450.1 Гражданского Кодекса РФ в случаях, установленных Договором. </w:t>
      </w:r>
      <w:r>
        <w:rPr>
          <w:highlight w:val="white"/>
        </w:rPr>
      </w:r>
      <w:r>
        <w:rPr>
          <w:highlight w:val="white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«Применимое право» – обязательные для Сторон в процессе исполнения Договора международные соглашения и законодательство Р</w:t>
      </w:r>
      <w:r>
        <w:rPr>
          <w:b w:val="0"/>
          <w:sz w:val="24"/>
          <w:szCs w:val="24"/>
          <w:lang w:eastAsia="en-US"/>
        </w:rPr>
        <w:t xml:space="preserve">оссийской Федерации, нормативные правовые акты органов государственной власти Российской Федерации и местного самоуправления, </w:t>
      </w:r>
      <w:r>
        <w:rPr>
          <w:b w:val="0"/>
          <w:sz w:val="24"/>
          <w:szCs w:val="24"/>
          <w:lang w:eastAsia="en-US"/>
        </w:rPr>
        <w:t xml:space="preserve">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</w:t>
      </w:r>
      <w:r>
        <w:rPr>
          <w:b w:val="0"/>
          <w:sz w:val="24"/>
          <w:szCs w:val="24"/>
          <w:lang w:eastAsia="en-US"/>
        </w:rPr>
        <w:t xml:space="preserve">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«Приемо-сдаточная документация»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numPr>
          <w:ilvl w:val="0"/>
          <w:numId w:val="32"/>
        </w:numPr>
        <w:ind w:left="-142" w:firstLine="85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numPr>
          <w:ilvl w:val="0"/>
          <w:numId w:val="32"/>
        </w:numPr>
        <w:ind w:left="-142" w:firstLine="85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документы, удостоверяющие качество используемых Подрядчиком Материально-технических ресурсов и оборудования;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numPr>
          <w:ilvl w:val="0"/>
          <w:numId w:val="32"/>
        </w:numPr>
        <w:ind w:left="-142" w:firstLine="85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043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/>
        </w:rPr>
        <w:t xml:space="preserve">«Работы» – все производимые / выполняемые Подрядчиком на свой риск, с и</w:t>
      </w:r>
      <w:r>
        <w:rPr>
          <w:b w:val="0"/>
          <w:sz w:val="24"/>
          <w:szCs w:val="24"/>
          <w:lang w:eastAsia="en-US"/>
        </w:rPr>
        <w:t xml:space="preserve">спользованием своих и / или привлеченных за свой счет сил и средств (Материально-технических ресурсов, инструмента) в соответствии с условиями Договора и Применимым правом работы, в том числе ремонтные работы, работы по исправлению</w:t>
      </w:r>
      <w:r>
        <w:rPr>
          <w:b w:val="0"/>
          <w:sz w:val="24"/>
          <w:szCs w:val="24"/>
        </w:rPr>
        <w:t xml:space="preserve"> выявленных недостатков, </w:t>
      </w:r>
      <w:r>
        <w:rPr>
          <w:b w:val="0"/>
          <w:sz w:val="24"/>
          <w:szCs w:val="24"/>
        </w:rPr>
        <w:t xml:space="preserve">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«Рабочий день»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«Результат работ»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№1 к Договору).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«Скрытые работы» – отдельные виды работ, оказывающ</w:t>
      </w:r>
      <w:r>
        <w:rPr>
          <w:b w:val="0"/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качества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«Субъект МСП»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«Техническое задание»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«Субподрядчик»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9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«Цена Договора предельная» – определяемая в соотве</w:t>
      </w:r>
      <w:r>
        <w:rPr>
          <w:b w:val="0"/>
          <w:sz w:val="24"/>
          <w:szCs w:val="24"/>
          <w:lang w:eastAsia="en-US"/>
        </w:rPr>
        <w:t xml:space="preserve">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eastAsia="en-US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284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bookmarkStart w:id="4" w:name="_Ref361410951"/>
      <w:r>
        <w:rPr>
          <w:bCs/>
          <w:sz w:val="24"/>
          <w:szCs w:val="24"/>
        </w:rPr>
        <w:t xml:space="preserve">Подрядчик обязуется в соответствии с Техническим заданием (Приложение №1 к Договору) выполнить работы по капитальному рем</w:t>
      </w:r>
      <w:r>
        <w:rPr>
          <w:bCs/>
          <w:sz w:val="24"/>
          <w:szCs w:val="24"/>
        </w:rPr>
        <w:t xml:space="preserve">онту разводящих тепловых сетей (далее по тексту – «Работы»),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Работ по Договору определяется Ведомостью объемов работ (Приложение №1.1 к Техническому заданию).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Работы по Договору выполняются для нужд структурного подразделения Заказчика «</w:t>
      </w:r>
      <w:r>
        <w:rPr>
          <w:bCs/>
          <w:sz w:val="24"/>
          <w:szCs w:val="24"/>
          <w:highlight w:val="white"/>
        </w:rPr>
        <w:t xml:space="preserve">Приморские тепловые сети».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Место выполнения Работ: Россия, Приморский край, </w:t>
      </w:r>
      <w:r>
        <w:rPr>
          <w:sz w:val="24"/>
          <w:szCs w:val="24"/>
          <w:highlight w:val="white"/>
        </w:rPr>
        <w:t xml:space="preserve">г. Артем, по месту прохождения тепловых сетей</w:t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1.5.</w:t>
        <w:tab/>
        <w:t xml:space="preserve">Работы выполняются Подрядчиком в следующие сроки: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1.5.1.</w:t>
        <w:tab/>
        <w:t xml:space="preserve">начало выполнения Работ: с даты, следующей за датой заключения договора;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white"/>
        </w:rPr>
        <w:t xml:space="preserve">1.5.2.</w:t>
        <w:tab/>
        <w:t xml:space="preserve">окончание выполнения Работ: </w:t>
      </w:r>
      <w:r>
        <w:rPr>
          <w:sz w:val="24"/>
          <w:szCs w:val="24"/>
          <w:highlight w:val="white"/>
        </w:rPr>
        <w:t xml:space="preserve">30.11.2026;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  <w:t xml:space="preserve">1.5.3.</w:t>
        <w:tab/>
        <w:t xml:space="preserve">п</w:t>
      </w:r>
      <w:r>
        <w:rPr>
          <w:sz w:val="24"/>
          <w:szCs w:val="24"/>
          <w:highlight w:val="white"/>
        </w:rPr>
        <w:t xml:space="preserve">ромежуточные сроки выполнения работ по Договору определяются графиком выполнения работ (Приложение №3 к Договору) в рамках общих сроков, указанных в пункте 1.5.1 – 1.5.2 Договора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43"/>
        <w:numPr>
          <w:ilvl w:val="0"/>
          <w:numId w:val="3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Права и обязанности Сторон 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  <w:u w:val="single"/>
        </w:rPr>
        <w:t xml:space="preserve">Заказчик обязан</w:t>
      </w:r>
      <w:r>
        <w:rPr>
          <w:bCs/>
          <w:highlight w:val="white"/>
        </w:rPr>
        <w:t xml:space="preserve">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highlight w:val="white"/>
        </w:rPr>
        <w:t xml:space="preserve">Сообщить Подрядчику контакты и должность представителей Заказчика, уполномоченных на оперативное рассмотрение и решение технических и организационных вопросов, связанных с выполнением Работ, включая оформление д</w:t>
      </w:r>
      <w:r>
        <w:rPr>
          <w:bCs/>
        </w:rPr>
        <w:t xml:space="preserve">вусторонних актов.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rPr>
          <w:spacing w:val="-4"/>
        </w:rPr>
        <w:t xml:space="preserve">Назначить из числа своего персонала лиц, ответственных за входной контроль материалов, используемых в работе, за контроль качества приемки выполненных работ.</w:t>
      </w:r>
      <w:r>
        <w:rPr>
          <w:spacing w:val="-4"/>
        </w:rPr>
      </w:r>
      <w:r>
        <w:rPr>
          <w:spacing w:val="-4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5" w:name="_Ref361401696"/>
      <w:r/>
      <w:bookmarkStart w:id="6" w:name="_Ref361320734"/>
      <w:r/>
      <w:bookmarkStart w:id="7" w:name="_Ref361396847"/>
      <w:r>
        <w:rPr>
          <w:bCs/>
        </w:rPr>
        <w:t xml:space="preserve">В течение 3 (трех) рабочих дней с даты получения соответствующего письменного запроса Подрядчика, передать (предоставить) последнему: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- техническую и иную документацию, указанную в Техническом задании (Приложение №1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№12 к Договору);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- место производства Работ.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color w:val="000000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</w:r>
      <w:bookmarkEnd w:id="5"/>
      <w:r/>
      <w:bookmarkEnd w:id="6"/>
      <w:r/>
      <w:bookmarkEnd w:id="7"/>
      <w:r/>
      <w:r/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spacing w:val="-4"/>
        </w:rPr>
        <w:t xml:space="preserve">Принять по акту выполненную работу, которым подтверждается исправное состояние объекта после ремонта, полнота и качество выполненных работ. При обнаружении дефектов, создающих опасност</w:t>
      </w:r>
      <w:r>
        <w:rPr>
          <w:spacing w:val="-4"/>
        </w:rPr>
        <w:t xml:space="preserve">ь в зоне выполнения работ и других недостатков, Заказчик обязан немедленно заявить об этом Подрядчику. Указанные недостатки должны быть описаны в приемосдаточном акте или ином документе, удостоверяющем приемку, который подписывается представителями сторон.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Круглосуточно осуществлять доступ к месту производства Работ, месту (помещению) для складирования Материально-технических ресурсов.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8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bCs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устранения таких нарушени</w:t>
      </w:r>
      <w:r>
        <w:rPr>
          <w:bCs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bCs/>
        </w:rPr>
      </w:pPr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</w:t>
      </w:r>
      <w:r>
        <w:rPr>
          <w:bCs/>
        </w:rPr>
        <w:t xml:space="preserve">в при выявлении нарушений такими работниками пропускного и внутриобъектового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9" w:name="_Ref361319348"/>
      <w:r>
        <w:rPr>
          <w:bCs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9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spacing w:val="-2"/>
        </w:rPr>
        <w:t xml:space="preserve">В случае изменения объемов работ в пределах цены Договора Стороны подписывают исполнительные сметы на основании уточненной ведомости объемов работ, согласованной </w:t>
      </w:r>
      <w:r>
        <w:rPr>
          <w:spacing w:val="-2"/>
        </w:rPr>
        <w:t xml:space="preserve">Сторонами и утвержденной Заказчиком, с сохранением ценообразующих факторов, учтенных в сметах на</w:t>
      </w:r>
      <w:r>
        <w:rPr>
          <w:spacing w:val="-2"/>
        </w:rPr>
        <w:t xml:space="preserve">стоящего Договора, с составлением протокола исключения и ведомости дополнительных объемов работ. Уточненная ведомость является обязательной для обеих Сторон. Методика составления исполнительной сметы аналогична методике составления основных смет Договора.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необходимости приостановки Работ по Договору давать Подрядчику распоряжение о консервации результата фактически выполненных Работ.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Получив указанное распоряжение, Подрядчик обязан незамедлительно принять все возможные меры по обеспечению сохранности результата фактически выполне</w:t>
      </w:r>
      <w:r>
        <w:rPr>
          <w:bCs/>
        </w:rPr>
        <w:t xml:space="preserve">нных Работ на период, достаточный для согласования и заключения Сторонами дополнительного соглашения к Договору, устанавливающего порядок, сроки и стоимость консервации результата фактически выполненных Работ, обеспечивающие его долговременную сохранность.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права,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В срок, указанный в пункте 2.1.3 Договора, принять от Заказчика на время выполнения Работ по Договору: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-  техническую и иную документацию, указанную в Техническом задании (Приложение №1 к Договору), по Акту сдачи-приемки технической и иной документации (Приложение №12 к Договору);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850" w:leader="none"/>
        </w:tabs>
        <w:rPr>
          <w:bCs/>
        </w:rPr>
      </w:pPr>
      <w:r>
        <w:rPr>
          <w:bCs/>
        </w:rPr>
        <w:t xml:space="preserve">-  место производства Работ.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highlight w:val="white"/>
        </w:rPr>
      </w:r>
      <w:r>
        <w:rPr>
          <w:bCs/>
          <w:highlight w:val="none"/>
        </w:rPr>
        <w:t xml:space="preserve">При приемке места производства Работ указать в</w:t>
      </w:r>
      <w:r>
        <w:rPr>
          <w:bCs/>
          <w:highlight w:val="none"/>
        </w:rPr>
        <w:t xml:space="preserve"> соответствующих актах сдачи-приемки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Материально-технических ресурсов. </w:t>
      </w:r>
      <w:r>
        <w:rPr>
          <w:bCs/>
          <w:highlight w:val="none"/>
        </w:rPr>
      </w:r>
      <w:r/>
    </w:p>
    <w:p>
      <w:pPr>
        <w:pStyle w:val="1043"/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</w:t>
      </w:r>
      <w:r>
        <w:rPr>
          <w:bCs/>
        </w:rPr>
        <w:t xml:space="preserve">данно</w:t>
      </w:r>
      <w:r>
        <w:rPr>
          <w:bCs/>
        </w:rPr>
        <w:t xml:space="preserve">й</w:t>
      </w:r>
      <w:r>
        <w:rPr>
          <w:bCs/>
        </w:rPr>
        <w:t xml:space="preserve"> </w:t>
      </w:r>
      <w:r>
        <w:rPr>
          <w:bCs/>
        </w:rPr>
        <w:t xml:space="preserve">обязанности</w:t>
      </w:r>
      <w:r>
        <w:rPr>
          <w:bCs/>
        </w:rPr>
        <w:t xml:space="preserve"> </w:t>
      </w:r>
      <w:r>
        <w:rPr>
          <w:bCs/>
        </w:rPr>
        <w:t xml:space="preserve">Подрядчик лишается права предъявлять </w:t>
      </w:r>
      <w:r>
        <w:rPr>
          <w:bCs/>
        </w:rPr>
        <w:t xml:space="preserve">Заказчику </w:t>
      </w:r>
      <w:r>
        <w:rPr>
          <w:bCs/>
        </w:rPr>
        <w:t xml:space="preserve">какие-либо</w:t>
      </w:r>
      <w:r>
        <w:rPr>
          <w:bCs/>
        </w:rPr>
        <w:t xml:space="preserve"> претензии</w:t>
      </w:r>
      <w:r>
        <w:rPr>
          <w:bCs/>
        </w:rPr>
        <w:t xml:space="preserve">, в том числе </w:t>
      </w:r>
      <w:r>
        <w:rPr>
          <w:bCs/>
        </w:rPr>
        <w:t xml:space="preserve">относительно увеличения объема или сроков выполнения Работ, вызванны</w:t>
      </w:r>
      <w:r>
        <w:rPr>
          <w:bCs/>
        </w:rPr>
        <w:t xml:space="preserve">е</w:t>
      </w:r>
      <w:r>
        <w:rPr>
          <w:bCs/>
        </w:rPr>
        <w:t xml:space="preserve"> наличием у Подрядчика замечаний к переданным Заказчиком местам (помещению), оборудованию и инструменту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ыдать замечания в отношении технической и иной документации, предоставленной Заказчиком, в течение 5 (пяти) рабочих дней с даты принятия её по Акту сдачи-приемки технической и иной документации (Приложение №12 к Договору). Отсутствие таких замечаний в указ</w:t>
      </w:r>
      <w:r>
        <w:rPr>
          <w:bCs/>
          <w:highlight w:val="none"/>
        </w:rPr>
        <w:t xml:space="preserve">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  <w:highlight w:val="none"/>
        </w:rPr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rPr>
          <w:bCs/>
          <w:highlight w:val="white"/>
        </w:rPr>
      </w:pPr>
      <w:r>
        <w:rPr>
          <w:bCs/>
          <w:highlight w:val="white"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bCs/>
          <w:highlight w:val="white"/>
        </w:rPr>
        <w:t xml:space="preserve">анализации, предоставленных Заказчиком в соответствии с пунктом 2.1.4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До начала выполнения Работ предоставить Заказчику: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0"/>
          <w:numId w:val="33"/>
        </w:numPr>
        <w:ind w:left="0" w:firstLine="709"/>
        <w:jc w:val="both"/>
        <w:shd w:val="clear" w:color="auto" w:fill="ffffff"/>
        <w:tabs>
          <w:tab w:val="left" w:pos="850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Работ, включая оформление двусторонних актов;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0"/>
          <w:numId w:val="33"/>
        </w:numPr>
        <w:ind w:left="0" w:firstLine="709"/>
        <w:jc w:val="both"/>
        <w:widowControl w:val="off"/>
        <w:tabs>
          <w:tab w:val="left" w:pos="851" w:leader="none"/>
        </w:tabs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контакты и должность представителей Подрядчика, ответственных за соблюдение норм и правил в обла</w:t>
      </w:r>
      <w:r>
        <w:rPr>
          <w:color w:val="000000"/>
          <w:highlight w:val="white"/>
        </w:rPr>
        <w:t xml:space="preserve">сти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указанных лиц в месте производства Работ в течение всего срока их выполнения;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43"/>
        <w:numPr>
          <w:ilvl w:val="0"/>
          <w:numId w:val="33"/>
        </w:numPr>
        <w:ind w:left="0" w:firstLine="709"/>
        <w:jc w:val="both"/>
        <w:shd w:val="clear" w:color="auto" w:fill="ffffff"/>
        <w:tabs>
          <w:tab w:val="left" w:pos="992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копии свидетельств НАКС о готовности организации к применению аттестованной технологии сварки, свидетельства НАКС об аттестации сварочного оборудования в соответствии с требованиями РД 03-615-03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«Порядок применения сварочных технологий при изготовлении, монтажу, ремонте и реконструкции технических устройств для опасных и производственных объектов»;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0"/>
          <w:numId w:val="33"/>
        </w:numPr>
        <w:ind w:left="0" w:firstLine="709"/>
        <w:jc w:val="both"/>
        <w:shd w:val="clear" w:color="auto" w:fill="ffffff"/>
        <w:tabs>
          <w:tab w:val="left" w:pos="850" w:leader="none"/>
        </w:tabs>
        <w:rPr>
          <w:bCs/>
          <w:highlight w:val="white"/>
        </w:rPr>
      </w:pPr>
      <w:r>
        <w:rPr>
          <w:bCs/>
          <w:color w:val="000000"/>
          <w:highlight w:val="white"/>
        </w:rPr>
        <w:t xml:space="preserve">копии удостоверений специалистов </w:t>
      </w:r>
      <w:r>
        <w:rPr>
          <w:bCs/>
          <w:highlight w:val="white"/>
        </w:rPr>
        <w:t xml:space="preserve">аттестованных НАКС сварочного производства (</w:t>
      </w:r>
      <w:r>
        <w:rPr>
          <w:bCs/>
          <w:highlight w:val="white"/>
          <w:lang w:val="en-US"/>
        </w:rPr>
        <w:t xml:space="preserve">I</w:t>
      </w:r>
      <w:r>
        <w:rPr>
          <w:bCs/>
          <w:highlight w:val="white"/>
        </w:rPr>
        <w:t xml:space="preserve"> – </w:t>
      </w:r>
      <w:r>
        <w:rPr>
          <w:bCs/>
          <w:highlight w:val="white"/>
          <w:lang w:val="en-US"/>
        </w:rPr>
        <w:t xml:space="preserve">III</w:t>
      </w:r>
      <w:r>
        <w:rPr>
          <w:bCs/>
          <w:highlight w:val="white"/>
        </w:rPr>
        <w:t xml:space="preserve"> уровня) в соответствии с требованиями РД 03-615-03</w:t>
      </w:r>
      <w:r>
        <w:rPr>
          <w:bCs/>
          <w:highlight w:val="white"/>
        </w:rPr>
        <w:t xml:space="preserve"> </w:t>
      </w:r>
      <w:r>
        <w:rPr>
          <w:bCs/>
        </w:rPr>
        <w:t xml:space="preserve">«Порядок применения сварочных технологий при изготовлении, монтаже, ремонте </w:t>
      </w:r>
      <w:r>
        <w:rPr>
          <w:bCs/>
        </w:rPr>
        <w:t xml:space="preserve">и реконструкции технических устройств для опасных и производственных объектов»;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0"/>
          <w:numId w:val="67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highlight w:val="white"/>
        </w:rPr>
      </w:pPr>
      <w:r>
        <w:rPr>
          <w:bCs/>
          <w:highlight w:val="white"/>
        </w:rPr>
      </w:r>
      <w:r>
        <w:rPr>
          <w:highlight w:val="white"/>
        </w:rPr>
        <w:t xml:space="preserve">разрабатывают и предоставляют Заказчику на согласование </w:t>
      </w:r>
      <w:r>
        <w:rPr>
          <w:bCs/>
          <w:highlight w:val="white"/>
        </w:rPr>
        <w:t xml:space="preserve">проект производства работ (ППР) с указанием общих методов и технологии работ, организационных вопросов с приложением графика выполнения работ (с указанием сроков выполнения работ, физических объёмов, потребных трудозатрат и материалов).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Выполнить  организационно-технические мероприятия согласно Техническому заданию (Приложение №1 к 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Оформить </w:t>
      </w:r>
      <w:r>
        <w:rPr>
          <w:bCs/>
        </w:rPr>
        <w:t xml:space="preserve">всю разрешительную документацию на производство земляных работ, согласовать их со всеми необходимыми инстанциями. Передать в Управление градостроительства и архит</w:t>
      </w:r>
      <w:r>
        <w:rPr>
          <w:bCs/>
        </w:rPr>
        <w:t xml:space="preserve">ектуры заявку на открытие ордера на производство земляных работ. Подрядчик несет ответственность за сохранность благоустройства территории, прилегающей к отведенным для производства работ земельных участков, а также за последствия не закрытия ордера в срок</w:t>
      </w:r>
      <w:r>
        <w:t xml:space="preserve">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Обеспечить сохранность переданных Заказчиком по соответствующим актам сдачи-приемки </w:t>
      </w:r>
      <w:r>
        <w:rPr>
          <w:bCs/>
        </w:rPr>
        <w:t xml:space="preserve">места производства работ</w:t>
      </w:r>
      <w:r>
        <w:t xml:space="preserve">, технической и иной документации, и возврат их Заказчику в первоначальном состоянии</w:t>
      </w:r>
      <w:r>
        <w:t xml:space="preserve"> не позднее даты окончания выполнения Работ, указанной в пункте 1.5.2 Договора, либо, в случаях прекращения (расторжения) Договора, указанных в разделе 14 Договора, – не позднее 3 (трех) рабочих дней с даты получения соответствующего требования Заказчика.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При выявлении в процессе выполнения работ недостатков, угрожающих безопасности работы, немедленно предупредить Заказчика и  до получения  от него  указаний  приостановить  выполнение  работы  в  случае: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403" w:leader="none"/>
        </w:tabs>
      </w:pPr>
      <w:r>
        <w:rPr>
          <w:spacing w:val="-14"/>
        </w:rPr>
        <w:t xml:space="preserve">а)          </w:t>
      </w:r>
      <w:r>
        <w:rPr>
          <w:spacing w:val="-3"/>
        </w:rPr>
        <w:t xml:space="preserve">обнаружения  непригодности  или  недоброкачественности  материалов</w:t>
      </w:r>
      <w:r>
        <w:rPr>
          <w:spacing w:val="-5"/>
        </w:rPr>
        <w:t xml:space="preserve">; </w:t>
      </w:r>
      <w:r>
        <w:rPr>
          <w:spacing w:val="-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6684645</wp:posOffset>
                </wp:positionH>
                <wp:positionV relativeFrom="paragraph">
                  <wp:posOffset>137795</wp:posOffset>
                </wp:positionV>
                <wp:extent cx="1752600" cy="76200"/>
                <wp:effectExtent l="0" t="4445" r="190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599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9264;o:allowoverlap:true;o:allowincell:true;mso-position-horizontal-relative:text;margin-left:526.35pt;mso-position-horizontal:absolute;mso-position-vertical-relative:text;margin-top:10.85pt;mso-position-vertical:absolute;width:138.00pt;height:6.00pt;mso-wrap-distance-left:9.00pt;mso-wrap-distance-top:0.00pt;mso-wrap-distance-right:9.00pt;mso-wrap-distance-bottom:0.00pt;v-text-anchor:top;visibility:visible;" fillcolor="#FFFFFF" stroked="f">
                <v:textbox inset="0,0,0,0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269" w:leader="none"/>
        </w:tabs>
        <w:rPr>
          <w:spacing w:val="-5"/>
        </w:rPr>
      </w:pPr>
      <w:r>
        <w:rPr>
          <w:spacing w:val="-13"/>
        </w:rPr>
        <w:t xml:space="preserve">б)</w:t>
      </w:r>
      <w:r>
        <w:tab/>
      </w:r>
      <w:r>
        <w:rPr>
          <w:spacing w:val="-4"/>
        </w:rPr>
        <w:t xml:space="preserve">если соблюдение указаний Заказчика и иные обстоятельства, зависящие от  Заказчика, могут снизить  </w:t>
      </w:r>
      <w:r>
        <w:rPr>
          <w:spacing w:val="-6"/>
        </w:rPr>
        <w:t xml:space="preserve">качество  выполняемой  работы или  повлечь  за  собой невозможность  ее   </w:t>
      </w:r>
      <w:r>
        <w:rPr>
          <w:spacing w:val="-5"/>
        </w:rPr>
        <w:t xml:space="preserve">завершения  в  срок.  </w:t>
      </w:r>
      <w:r>
        <w:rPr>
          <w:spacing w:val="-5"/>
        </w:rPr>
      </w:r>
      <w:r>
        <w:rPr>
          <w:spacing w:val="-5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С</w:t>
      </w:r>
      <w:r>
        <w:t xml:space="preserve">одержать в исправном состоянии средства индивидуальной и коллективной защиты как собственные, так и Заказчика, в случае их использования для обеспечения безопасного производства работ персонала Подрядчика, производить за свой счет их приобретение и ремонт.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t xml:space="preserve">Выполнять предписания по пожарной безопасности, выданные должностными лиц</w:t>
      </w:r>
      <w:r>
        <w:rPr>
          <w:highlight w:val="white"/>
        </w:rPr>
        <w:t xml:space="preserve">ами службы промышленной безопасности и охраны труда Заказчика и надзорных органов.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Обеспечить: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-     наличие допусков, разрешений и лицензий, необходимых для производства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- участие в саморегулируемой организации, основанной на членстве лиц, осуществляющих строительство (с учетом исключений, предусмотренных законодательством Российской Федерации);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65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оформление актов о проведении инструментальных замеров толщины лакокрасочного покрытия в соответствии с требованиями СП 72.13330.2016 «Защита строительных конструкций и сооружений от коррозии».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91"/>
        <w:ind w:left="0" w:right="0" w:firstLine="709"/>
        <w:jc w:val="both"/>
        <w:spacing w:after="0"/>
        <w:shd w:val="clear" w:color="auto" w:fill="ffffff"/>
        <w:tabs>
          <w:tab w:val="left" w:pos="567" w:leader="none"/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 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стоимости выполнения Работ</w:t>
      </w:r>
      <w:r>
        <w:rPr>
          <w:bCs/>
          <w:highlight w:val="white"/>
        </w:rPr>
        <w:t xml:space="preserve"> по Договору.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highlight w:val="white"/>
        </w:rPr>
        <w:t xml:space="preserve">Подрядчик обязан незамедлительно, но в любом случае не позднее рабочего </w:t>
      </w:r>
      <w:r>
        <w:t xml:space="preserve">дня, следующего за днем наступления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в том числе указанных в Приложении №11 к Договору</w:t>
      </w:r>
      <w: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t xml:space="preserve">ика получить дополнительные допуски, разрешения и / 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/ или лицензии и направить их копии Заказчику.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11.1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Выполнять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</w:t>
      </w:r>
      <w:r>
        <w:t xml:space="preserve">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bCs/>
        </w:rPr>
        <w:t xml:space="preserve"> </w:t>
      </w:r>
      <w:r>
        <w:t xml:space="preserve">В случаях, установленных правилами пропускного и внутриобъектового режима Заказчика, предварительно согласовать с Заказчиком пофамильные списки персонала, задействованного при производстве Работ.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Провести инструктаж персонала, задействованного при производстве Работ, об</w:t>
      </w:r>
      <w:r>
        <w:t xml:space="preserve">еспечить соблюдение (в том числе указанным персоналом)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Обесп</w:t>
      </w:r>
      <w: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Предоставить Заказчику в полном объеме необходимую для приемки Работ приемо-сдаточную и исполнительную документацию в трех экземплярах в составе согласно Технического задания (Приложение №1 к Договору). 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rPr>
          <w:bCs/>
        </w:rPr>
      </w:pPr>
      <w:r>
        <w:t xml:space="preserve">Обеспечивать в месте производства Работ порядок и чистоту</w:t>
      </w:r>
      <w:r>
        <w:rPr>
          <w:bCs/>
        </w:rPr>
        <w:t xml:space="preserve">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highlight w:val="white"/>
        </w:rPr>
        <w:t xml:space="preserve">Д</w:t>
      </w:r>
      <w:r>
        <w:rPr>
          <w:bCs/>
          <w:highlight w:val="white"/>
        </w:rPr>
        <w:t xml:space="preserve">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П</w:t>
      </w:r>
      <w:r>
        <w:rPr>
          <w:bCs/>
          <w:highlight w:val="white"/>
        </w:rPr>
        <w:t xml:space="preserve">ередать Заказчику в полном объеме</w:t>
      </w:r>
      <w:r>
        <w:rPr>
          <w:highlight w:val="white"/>
        </w:rPr>
        <w:t xml:space="preserve"> лом черных и цветных металлов, </w:t>
      </w:r>
      <w:r>
        <w:rPr>
          <w:bCs/>
          <w:highlight w:val="white"/>
        </w:rPr>
        <w:t xml:space="preserve">образовавшийся в ходе выполнения Работ.</w:t>
      </w:r>
      <w:r>
        <w:rPr>
          <w:bCs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highlight w:val="white"/>
        </w:rPr>
        <w:t xml:space="preserve">Выполнять полученные в ходе</w:t>
      </w:r>
      <w:r>
        <w:t xml:space="preserve"> исполнения Договора указания Заказчика, если такие указания не противоречат условиям Договора и не представляют собой вмешательства в деятельность Подрядчика. </w:t>
      </w:r>
      <w:r/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случае, если такие указания могут привести к увеличению Цены Договора, Подрядчик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2.3.27.1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пункте 2.3.27.1 Договора.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Письменно известить Заказчика и до получения от него необходимых указаний приостановить Работу при обнаружении:</w:t>
      </w:r>
      <w:r/>
    </w:p>
    <w:p>
      <w:pPr>
        <w:pStyle w:val="104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</w:t>
      </w:r>
      <w:r>
        <w:rPr>
          <w:bCs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2.3.27 Договора лишает его права ссылаться на соответствующие обстоятельства, как на основании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Письменно уведомлять Заказчика о любых внеплановых событиях и происшествиях, возникших в ходе исполнения Договора, включая, но не ограничиваясь:</w:t>
      </w:r>
      <w:r/>
    </w:p>
    <w:p>
      <w:pPr>
        <w:pStyle w:val="1043"/>
        <w:numPr>
          <w:ilvl w:val="0"/>
          <w:numId w:val="34"/>
        </w:numPr>
        <w:ind w:left="0" w:firstLine="709"/>
        <w:jc w:val="both"/>
        <w:tabs>
          <w:tab w:val="left" w:pos="992" w:leader="none"/>
        </w:tabs>
      </w:pPr>
      <w:r>
        <w:t xml:space="preserve">аварии – в течение 2 (двух) часов;</w:t>
      </w:r>
      <w:r/>
    </w:p>
    <w:p>
      <w:pPr>
        <w:pStyle w:val="1043"/>
        <w:numPr>
          <w:ilvl w:val="0"/>
          <w:numId w:val="34"/>
        </w:numPr>
        <w:ind w:left="0" w:firstLine="709"/>
        <w:jc w:val="both"/>
        <w:tabs>
          <w:tab w:val="left" w:pos="992" w:leader="none"/>
        </w:tabs>
      </w:pPr>
      <w: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043"/>
        <w:numPr>
          <w:ilvl w:val="0"/>
          <w:numId w:val="34"/>
        </w:numPr>
        <w:ind w:left="0" w:firstLine="709"/>
        <w:jc w:val="both"/>
        <w:tabs>
          <w:tab w:val="left" w:pos="992" w:leader="none"/>
        </w:tabs>
      </w:pPr>
      <w:r>
        <w:t xml:space="preserve">хищении и иных противоправных действиях – в течение 24 (двадцати четырех) часов;</w:t>
      </w:r>
      <w:r/>
    </w:p>
    <w:p>
      <w:pPr>
        <w:pStyle w:val="1043"/>
        <w:numPr>
          <w:ilvl w:val="0"/>
          <w:numId w:val="34"/>
        </w:numPr>
        <w:ind w:left="0" w:firstLine="709"/>
        <w:jc w:val="both"/>
        <w:tabs>
          <w:tab w:val="left" w:pos="992" w:leader="none"/>
        </w:tabs>
      </w:pPr>
      <w: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043"/>
        <w:numPr>
          <w:ilvl w:val="0"/>
          <w:numId w:val="34"/>
        </w:numPr>
        <w:ind w:left="0" w:firstLine="709"/>
        <w:jc w:val="both"/>
        <w:tabs>
          <w:tab w:val="left" w:pos="992" w:leader="none"/>
        </w:tabs>
      </w:pPr>
      <w:r>
        <w:t xml:space="preserve">иных обстоятельствах, фактах, сообщениях в средствах массовой информации – в течение 24 (двадцати четырех) часов.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tabs>
          <w:tab w:val="left" w:pos="992" w:leader="none"/>
        </w:tabs>
      </w:pPr>
      <w:r>
        <w:t xml:space="preserve">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</w:t>
      </w:r>
      <w:r>
        <w:t xml:space="preserve">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Уведомлять Заказчика о необходимости проведения освидетельствования и/или приемки Скрытых работ.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Осуществлять мероприятия строительного контроля, возложе</w:t>
      </w:r>
      <w:r>
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</w:t>
      </w:r>
      <w:r>
        <w:t xml:space="preserve">кции, связанные с причинением Подрядчиком и / или привлеченными им Субподрядчиками вреда жизни или здоровью людей, имуществу Заказчика или третьих лиц, а также фактам нарушения Подрядчиком и / или привлеченными им Субподрядчиками правил пожарной безопаснос</w:t>
      </w:r>
      <w:r>
        <w:t xml:space="preserve">ти, техники безопасности, требований природоохранного законодательства, включая затраты, связанные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</w:t>
      </w:r>
      <w:r>
        <w:t xml:space="preserve">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оплату работ в сверхурочное время, ночное время, в официал</w:t>
      </w:r>
      <w:r>
        <w:t xml:space="preserve">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Работ, без какого-</w:t>
      </w:r>
      <w:r>
        <w:rPr>
          <w:highlight w:val="white"/>
        </w:rPr>
        <w:t xml:space="preserve">либо ограничения размера такого возмещения.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 случае, когда один или несколько соответствующих рисков были застрахованы Заказчик</w:t>
      </w:r>
      <w:r>
        <w:rPr>
          <w:bCs/>
          <w:highlight w:val="white"/>
        </w:rPr>
        <w:t xml:space="preserve">ом, возмести</w:t>
      </w:r>
      <w:r>
        <w:rPr>
          <w:bCs/>
          <w:highlight w:val="white"/>
        </w:rPr>
        <w:t xml:space="preserve">ть ущерб в пользу Заказчика в части, не подлежащей возмещению по договору (-ам) страхования.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highlight w:val="white"/>
        </w:rPr>
        <w:t xml:space="preserve">В случае предъявления налоговыми органами претензий и требований к Заказчику, связанных с недобросовестность</w:t>
      </w:r>
      <w:r>
        <w:rPr>
          <w:highlight w:val="white"/>
        </w:rPr>
        <w:t xml:space="preserve">ю Субподрядчиков (любого лица из цепочки субподрядчиков), 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highlight w:val="white"/>
        </w:rPr>
        <w:t xml:space="preserve">В случ</w:t>
      </w:r>
      <w:r>
        <w:rPr>
          <w:highlight w:val="white"/>
        </w:rPr>
        <w:t xml:space="preserve">ае каких-либо изменений в цепочке собственников, включая бенефициаров, и (или) исполнительных органах, Подрядчик обязан предоставить соответствующую информацию (по форме Приложени</w:t>
      </w:r>
      <w:r>
        <w:t xml:space="preserve">я №6 к Договору),не позднее 5 (пяти) календарных дней после таких изменений.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Подрядчик согласен на раскрытие Заказчик</w:t>
      </w:r>
      <w:r>
        <w:t xml:space="preserve">ом предоставленной Подрядчиком информации по форме Приложения №6 к Договору, включая содержащиеся в ней персональные данные, путем ее предоставления в органы государственной власти и предоставляет Заказчику право передавать данную информацию и подтверждающ</w:t>
      </w:r>
      <w:r>
        <w:t xml:space="preserve">ие документы указанным органам, Подрядчик, предоставляя Заказчику информацию по форме Приложения №6 к Договору, обязуется выполнить все требования законодательства о защите персональных данных. Подрядчик подтверждает, что необходимые согласия субъектов пер</w:t>
      </w:r>
      <w:r>
        <w:t xml:space="preserve">сональных данных на их раскрытие, как это предусмотрено настоящим пунктом, Подрядчиком получены (будут получены). Информация, содержащая персональные данные физических лиц, должна передаваться с соблюдением требований законодательства Российской Федерации.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Вести Общий журнал работ (Приложение №16 к Договору), который является подтверждением акта приемки выполненных работ (форма КС-2).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</w:pPr>
      <w:r>
        <w:t xml:space="preserve">Руководствоваться требованиями нормативно-технических документов, указанных в Техническом задании (Приложение №1 к Договору).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Исполнять иные обязанности, предусмотренные Договором и законодательством Российской Федерации. </w:t>
      </w:r>
      <w:r/>
    </w:p>
    <w:p>
      <w:pPr>
        <w:pStyle w:val="1043"/>
        <w:ind w:left="0" w:firstLine="709"/>
      </w:pPr>
      <w:r/>
      <w:r/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u w:val="single"/>
        </w:rPr>
      </w:pPr>
      <w:r>
        <w:rPr>
          <w:bCs/>
          <w:u w:val="single"/>
        </w:rPr>
        <w:t xml:space="preserve">Подрядчик имеет право:</w:t>
      </w:r>
      <w:r>
        <w:rPr>
          <w:bCs/>
          <w:u w:val="single"/>
        </w:rPr>
      </w:r>
      <w:r>
        <w:rPr>
          <w:bCs/>
          <w:u w:val="singl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Самостоятельно организовать выполнение Работ.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При необходимости по предварительному письменному согласованию с Заказчиком заключать договоры субподряда </w:t>
      </w:r>
      <w:r>
        <w:t xml:space="preserve">в совокупности не более чем на __  (_______) процентов от Цены Договора,</w:t>
      </w:r>
      <w:r>
        <w:t xml:space="preserve"> неся при этом ответственность за действия Субподрядчиков, как за свои собственные.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</w:pPr>
      <w:r>
        <w:rPr>
          <w:bCs/>
        </w:rPr>
        <w:t xml:space="preserve">сведения об объемах выполнения работ Субподрядчиком; </w:t>
      </w:r>
      <w:r/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пофамильный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копии учредительных документов Субподрядчика;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5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t xml:space="preserve">справку по форме Приложения №8 к Договору (в случае привлечения Субподрядчика, соответствующего критериям СМП)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0"/>
          <w:numId w:val="23"/>
        </w:numPr>
        <w:ind w:left="0" w:firstLine="709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043"/>
        <w:numPr>
          <w:ilvl w:val="0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vanish/>
          <w:sz w:val="2"/>
          <w:szCs w:val="2"/>
          <w:u w:val="single"/>
        </w:rPr>
      </w:pPr>
      <w:r>
        <w:rPr>
          <w:bCs/>
          <w:vanish/>
          <w:sz w:val="2"/>
          <w:szCs w:val="2"/>
          <w:u w:val="single"/>
        </w:rPr>
      </w:r>
      <w:r>
        <w:rPr>
          <w:bCs/>
          <w:vanish/>
          <w:sz w:val="2"/>
          <w:szCs w:val="2"/>
          <w:u w:val="single"/>
        </w:rPr>
      </w:r>
      <w:r>
        <w:rPr>
          <w:bCs/>
          <w:vanish/>
          <w:sz w:val="2"/>
          <w:szCs w:val="2"/>
          <w:u w:val="singl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Ц</w:t>
      </w:r>
      <w:r>
        <w:rPr>
          <w:highlight w:val="white"/>
        </w:rPr>
        <w:t xml:space="preserve">е</w:t>
      </w:r>
      <w:r>
        <w:rPr>
          <w:highlight w:val="white"/>
        </w:rPr>
        <w:t xml:space="preserve">на Договора в соответствии со Сводным сметным расчетом (Приложение №2 к Договору) является</w:t>
      </w:r>
      <w:r>
        <w:rPr>
          <w:highlight w:val="white"/>
        </w:rPr>
        <w:t xml:space="preserve"> предельной и</w:t>
      </w:r>
      <w:r>
        <w:rPr>
          <w:highlight w:val="white"/>
        </w:rPr>
        <w:t xml:space="preserve"> составляет ___________________________________ руб. (____________________________ ___________________) рублей ______ копеек, в том числе НДС (____) – __</w:t>
      </w:r>
      <w:r>
        <w:rPr>
          <w:highlight w:val="white"/>
        </w:rPr>
        <w:t xml:space="preserve">_____________ руб. (_______________________________________________) рублей _____</w:t>
      </w:r>
      <w:r>
        <w:rPr>
          <w:highlight w:val="white"/>
        </w:rPr>
        <w:t xml:space="preserve">_ копеек.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highlight w:val="white"/>
        </w:rPr>
        <w:t xml:space="preserve">Предельная</w:t>
      </w:r>
      <w:r>
        <w:rPr>
          <w:highlight w:val="white"/>
        </w:rPr>
        <w:t xml:space="preserve"> цена Р</w:t>
      </w:r>
      <w:r>
        <w:rPr>
          <w:highlight w:val="white"/>
        </w:rPr>
        <w:t xml:space="preserve">абот (без учета Лимита на непредвиденные работы и затраты) составляет ________________ руб. (_</w:t>
      </w:r>
      <w:r>
        <w:t xml:space="preserve">____________________________________________) рублей _____ копеек, в том числе НДС (____) – ______________ руб. (______________  _____________________</w:t>
      </w:r>
      <w:r>
        <w:t xml:space="preserve">______________) рублей _____ копеек;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Л</w:t>
      </w:r>
      <w:r>
        <w:t xml:space="preserve">имит</w:t>
      </w:r>
      <w:r>
        <w:t xml:space="preserve"> на непредвиденные работы и затраты составляет _______________ руб. (_______________________________________________________) рублей ______ копеек, в том числе НДС (_______) – _______________ руб. (________________________________________) рублей ______ ко</w:t>
      </w:r>
      <w:r>
        <w:t xml:space="preserve">пеек.</w:t>
      </w:r>
      <w:r/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выполнение ремонтных работ;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приобретение Материально-технических ресурсов, необходимых для выполнения Работ по Договору;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заработную плату, накладные расходы, перемещение и размещение персонала Подрядчика;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все прочие затраты и расходы Подрядчика, связанные с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/>
    </w:p>
    <w:p>
      <w:pPr>
        <w:pStyle w:val="1043"/>
        <w:numPr>
          <w:ilvl w:val="1"/>
          <w:numId w:val="3"/>
        </w:numPr>
        <w:ind w:left="0" w:firstLine="709"/>
        <w:jc w:val="both"/>
        <w:tabs>
          <w:tab w:val="left" w:pos="1134" w:leader="none"/>
        </w:tabs>
        <w:rPr>
          <w:highlight w:val="white"/>
        </w:rPr>
      </w:pPr>
      <w:r>
        <w:rPr>
          <w:bCs/>
          <w:highlight w:val="none"/>
        </w:rPr>
        <w:t xml:space="preserve">Изменение цены договора не требует заключения дополнительного соглашения к Договору только в случае, когда оно вызвано изменением ставки российского НД</w:t>
      </w:r>
      <w:r>
        <w:rPr>
          <w:bCs/>
          <w:highlight w:val="white"/>
        </w:rPr>
        <w:t xml:space="preserve">С.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pacing w:line="240" w:lineRule="auto"/>
        <w:tabs>
          <w:tab w:val="left" w:pos="1134" w:leader="none"/>
        </w:tabs>
        <w:rPr>
          <w:highlight w:val="white"/>
        </w:rPr>
      </w:pPr>
      <w:r>
        <w:rPr>
          <w:bCs/>
          <w:highlight w:val="white"/>
        </w:rPr>
        <w:t xml:space="preserve">В случае снижения заявленной стоимости путем ввода в сводный </w:t>
      </w:r>
      <w:r>
        <w:rPr>
          <w:bCs/>
          <w:highlight w:val="white"/>
        </w:rPr>
        <w:t xml:space="preserve">сметный расчёт</w:t>
      </w:r>
      <w:r>
        <w:rPr>
          <w:bCs/>
          <w:highlight w:val="white"/>
        </w:rPr>
        <w:t xml:space="preserve"> «понижающего коэффициента», </w:t>
      </w:r>
      <w:r>
        <w:rPr>
          <w:bCs/>
          <w:highlight w:val="white"/>
        </w:rPr>
        <w:t xml:space="preserve">учтённый в окончательных сметах понижающий коэффициент» обязателен к применению как в актах выполненных работ на стадии расчётов, так и в дополнительных сметах в случае их составления на стадии выполнения Договора подряда.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Стоимость работ по настоящему Договору определяется в программном комплексе «Гранд-СМЕТА»: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jc w:val="both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 </w:t>
      </w:r>
      <w:r>
        <w:rPr>
          <w:highlight w:val="white"/>
        </w:rPr>
        <w:t xml:space="preserve">ресурсно-индекс</w:t>
      </w:r>
      <w:r>
        <w:rPr>
          <w:highlight w:val="white"/>
        </w:rPr>
        <w:t xml:space="preserve">ным методом (РИМ)  - с использованием сметных норм, сметных цен строительных ресурсов в базисном уровне цен и одновременным применением информации о сметных ценах, размещенной в ФГИС ЦС, а также индексов изменения сметной стоимости к составляющим единичных</w:t>
      </w:r>
      <w:r>
        <w:rPr>
          <w:highlight w:val="white"/>
        </w:rPr>
        <w:t xml:space="preserve"> </w:t>
      </w:r>
      <w:r>
        <w:rPr>
          <w:highlight w:val="white"/>
        </w:rPr>
        <w:t xml:space="preserve">расценок в базисном уровне цен. Сметная стоимость строительства, определенная с применением ресурсно-индексного метода, приводится в смете в текущем уровне цен по Сплит-форме индексов и сметных цен для ценовой зоны Приморский край на 3  квартал 2025 года.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jc w:val="both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  при расчёте сметной стоимости, сметную прибыль принимать 30% от ФОТ.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jc w:val="both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Локальные  сметные расчеты  должны  быть предоставлены по элементам затрат с расшифровкой всех статей затрат  на электронном носителе в формате gsf программы «ГРАНД-СМЕТА» и на бумажном носителе в формате xls.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tabs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На стадии закрытия актов выполненных работ исключением из расценок, составленных по сборникам ГЭСН, подлежат: стоимость давальческих машин и материалов в случае их учета в смете по учтенным в расценках показателям.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highlight w:val="white"/>
        </w:rPr>
      </w:r>
      <w:bookmarkStart w:id="11" w:name="_Ref361858588"/>
      <w:r>
        <w:rPr>
          <w:highlight w:val="white"/>
        </w:rPr>
      </w:r>
      <w:bookmarkStart w:id="12" w:name="_Ref361834675"/>
      <w:r>
        <w:rPr>
          <w:bCs/>
          <w:highlight w:val="white"/>
        </w:rPr>
        <w:t xml:space="preserve">Оплата по Договору осуществляется Заказчиком в следующем порядке:</w:t>
      </w:r>
      <w:bookmarkEnd w:id="11"/>
      <w:r>
        <w:rPr>
          <w:highlight w:val="white"/>
        </w:rPr>
      </w:r>
      <w:bookmarkEnd w:id="12"/>
      <w:r>
        <w:rPr>
          <w:bCs/>
          <w:highlight w:val="white"/>
        </w:rPr>
        <w:t xml:space="preserve">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2"/>
          <w:numId w:val="3"/>
        </w:numPr>
        <w:ind w:left="0" w:firstLine="709"/>
        <w:jc w:val="both"/>
        <w:shd w:val="clear" w:color="auto" w:fill="ffffff"/>
        <w:widowControl w:val="off"/>
        <w:tabs>
          <w:tab w:val="left" w:pos="1418" w:leader="none"/>
        </w:tabs>
      </w:pPr>
      <w:r>
        <w:rPr>
          <w:highlight w:val="white"/>
        </w:rPr>
      </w:r>
      <w:bookmarkStart w:id="13" w:name="_Ref373242766"/>
      <w:r>
        <w:rPr>
          <w:highlight w:val="white"/>
        </w:rPr>
      </w:r>
      <w:bookmarkStart w:id="14" w:name="_Ref361834178"/>
      <w:r>
        <w:rPr>
          <w:highlight w:val="white"/>
        </w:rPr>
      </w:r>
      <w:bookmarkStart w:id="15" w:name="_Ref361335023"/>
      <w:r>
        <w:rPr>
          <w:highlight w:val="white"/>
        </w:rPr>
        <w:t xml:space="preserve">Расчёт за фактически выполненные работы производится Заказчиком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3.7.2 До</w:t>
      </w:r>
      <w:r>
        <w:t xml:space="preserve">говора. </w:t>
      </w:r>
      <w:bookmarkEnd w:id="13"/>
      <w:r/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t xml:space="preserve">В случае выставления Подрядчиком счета на сумму менее размера предусмотренного Договором платежа, оплата осуществляется по </w:t>
      </w:r>
      <w:r>
        <w:t xml:space="preserve">сумме счета. В случае выставления текущего/дополнительного счета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</w:t>
      </w:r>
      <w:r>
        <w:t xml:space="preserve">ического вручения Заказчику. В случае выставления Подрядчиком счета позднее 10 (десяти)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bookmarkEnd w:id="14"/>
      <w:r/>
      <w:r/>
    </w:p>
    <w:p>
      <w:pPr>
        <w:pStyle w:val="1043"/>
        <w:numPr>
          <w:ilvl w:val="2"/>
          <w:numId w:val="3"/>
        </w:numPr>
        <w:ind w:left="0" w:firstLine="709"/>
        <w:jc w:val="both"/>
      </w:pPr>
      <w:r>
        <w:rPr>
          <w:highlight w:val="none"/>
        </w:rPr>
        <w:t xml:space="preserve">Авансирование не предусмотрено.</w:t>
      </w:r>
      <w:r>
        <w:rPr>
          <w:highlight w:val="none"/>
        </w:rPr>
      </w:r>
      <w:r/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Расчеты по Договору осуществляютс</w:t>
      </w:r>
      <w:r>
        <w:rPr>
          <w:bCs/>
        </w:rPr>
        <w:t xml:space="preserve">я в валюте Российской Федерации.</w:t>
      </w:r>
      <w:r>
        <w:rPr>
          <w:bCs/>
        </w:rPr>
        <w:t xml:space="preserve"> Оплата производится Заказчиком путем перечисления денежных средств на расчетный счет Подрядчика, указанный в Договоре. Обязательство Заказчика по по осуществлению платежа считается исполненным с даты списания денежных средств с расчетного счета Заказчика.</w:t>
      </w:r>
      <w:bookmarkStart w:id="16" w:name="_Ref361336647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7" w:name="_Ref361834206"/>
      <w:r>
        <w:rPr>
          <w:bCs/>
        </w:rPr>
        <w:t xml:space="preserve">Если изменения, указанные в пункте 2.2.5 Договора, приводят к существенному увеличению Цены Договора,</w:t>
      </w:r>
      <w:r>
        <w:rPr>
          <w:bCs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bookmarkEnd w:id="16"/>
      <w:r/>
      <w:bookmarkEnd w:id="17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исключением случая, указанного в пункте 3.9.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rPr>
          <w:bCs/>
        </w:rPr>
      </w:pPr>
      <w:r>
        <w:rPr>
          <w:bCs/>
        </w:rPr>
        <w:t xml:space="preserve">Расходы за утилизацию строительного мусора принимаются на основании представленных в состав</w:t>
      </w:r>
      <w:r>
        <w:rPr>
          <w:bCs/>
        </w:rPr>
        <w:t xml:space="preserve">е исполнительной документации отчетных документов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 и др.) в пределах тарифа, указанного в смете.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rPr>
          <w:bCs/>
        </w:rPr>
      </w:pPr>
      <w:r>
        <w:rPr>
          <w:bCs/>
        </w:rPr>
        <w:t xml:space="preserve">Стоимость материалов, учтенная Подрядчиком в смете на стадии за</w:t>
      </w:r>
      <w:r>
        <w:rPr>
          <w:bCs/>
        </w:rPr>
        <w:t xml:space="preserve">крытия актов выполненных работ, подлежит подтверждению платежными документами, но не выше учтенной в смете величины. В случае фактического удорожания материалов к оплате предъявляется стоимость материалов, указанная в смете, прошедшей конкурсные процедуры.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</w:pPr>
      <w:r>
        <w:rPr>
          <w:bCs/>
        </w:rPr>
        <w:t xml:space="preserve"> Заказчик вправе произвести сальдо взаимных обязательств сторон путем уменьшения сумм причита</w:t>
      </w:r>
      <w:r>
        <w:rPr>
          <w:bCs/>
        </w:rPr>
        <w:t xml:space="preserve">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Подрядчика перед Заказчиком, в то</w:t>
      </w:r>
      <w:r>
        <w:rPr>
          <w:bCs/>
        </w:rPr>
        <w:t xml:space="preserve">м числе (включая, но не ограничиваясь),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выполненных Подрядчиком работ.</w:t>
      </w:r>
      <w:r/>
    </w:p>
    <w:p>
      <w:pPr>
        <w:pStyle w:val="1043"/>
        <w:ind w:left="0" w:firstLine="567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</w:pPr>
      <w:r>
        <w:rPr>
          <w:bCs/>
        </w:rPr>
        <w:t xml:space="preserve">Непредвиденные работы и затраты </w:t>
      </w:r>
      <w:r>
        <w:t xml:space="preserve">оплачиваются за фактически выполненные работы. Объем работ, выполняемый Подрядчиком, должен быть предварительно согласован с Заказчиком и выполняться на основании утвержденных Заказчиком смет, в рамках л</w:t>
      </w:r>
      <w:r>
        <w:t xml:space="preserve">имита на непредвиденные работы и затраты, предусмотренного утвержденной Сметой (Приложение №2 к Договору). Приемка выполненного объема работ производится одновременно с Работами по Договору при подписании Сторонами Акта КС-2 в соответствии с пунктом 4.1 До</w:t>
      </w:r>
      <w:r>
        <w:t xml:space="preserve">говора. Оплата в размере 100 % (ста процентов) от стоимости непредвиденных работ и затрат производится Заказчиком в течение 7 (семи) рабочих дней с даты подписания Акта КС-2 и Справки КС-3 на основании счета, выставленного Подрядчиком, и с учетом пункта 3.</w:t>
      </w:r>
      <w:r>
        <w:t xml:space="preserve">7.</w:t>
      </w:r>
      <w:r>
        <w:t xml:space="preserve">2</w:t>
      </w:r>
      <w:bookmarkStart w:id="18" w:name="_GoBack"/>
      <w:r/>
      <w:bookmarkEnd w:id="18"/>
      <w:r>
        <w:t xml:space="preserve"> Договора. Стоимость непредвиденных работ и затрат включается в </w:t>
      </w:r>
      <w:r>
        <w:rPr>
          <w:bCs/>
        </w:rPr>
        <w:t xml:space="preserve">общую сумму Акта КС-2, подписываемого Сторонами в соответствии с пунктом 4.1 Договора.</w:t>
      </w:r>
      <w:r/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9" w:name="_Ref361834251"/>
      <w:r/>
      <w:bookmarkEnd w:id="15"/>
      <w:r>
        <w:rPr>
          <w:bCs/>
        </w:rPr>
        <w:t xml:space="preserve">Индексация Цены Договора не предусматривается. </w:t>
      </w:r>
      <w:bookmarkEnd w:id="19"/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20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0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vanish/>
          <w:sz w:val="2"/>
          <w:szCs w:val="2"/>
        </w:rPr>
      </w:pPr>
      <w:r/>
      <w:bookmarkStart w:id="20" w:name="_Ref361336865"/>
      <w:r>
        <w:rPr>
          <w:bCs/>
          <w:vanish/>
          <w:sz w:val="2"/>
          <w:szCs w:val="2"/>
        </w:rPr>
      </w:r>
      <w:r>
        <w:rPr>
          <w:bCs/>
          <w:vanish/>
          <w:sz w:val="2"/>
          <w:szCs w:val="2"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 фактическому выполнению работ Подрядчик до 25-го числа каждого месяца  предъявляет Заказчику подписанный со своей сторон</w:t>
      </w:r>
      <w:r>
        <w:rPr>
          <w:bCs/>
        </w:rPr>
        <w:t xml:space="preserve">ы в 3 (трех) экземплярах акт о приемке выполненных работ по форме № КС-2 (Приложение №14 к Договору) и справку о стоимости выполненных работ и затрат по форме № КС-3 (Приложение №15 к Договору) с приложением приемо-сдаточной и исполнительной документации </w:t>
      </w:r>
      <w:r>
        <w:rPr>
          <w:bCs/>
        </w:rPr>
        <w:t xml:space="preserve">в соответствии с требованиями п.2.2 Технического задания (Приложение №1 к Договору).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 результатам приемки выполненных работ Подрядчик обязан подписать акты ОС-3, сформированные Заказчиком и вернуть Заказчику в течение 3-х (трех) календарных дней.</w:t>
      </w:r>
      <w:bookmarkEnd w:id="20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течение 5 (пяти) рабочих дней с даты получения полного комплекта документов, указанных в пункте 4.1 Договора, Заказчик подписывает и передает Подрядчи</w:t>
      </w:r>
      <w:r>
        <w:rPr>
          <w:bCs/>
        </w:rPr>
        <w:t xml:space="preserve">ку 1 (один) экземпляр каждого указанного акта, либо направляет Подрядчику письменный мотивированный отказ от приемки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 / или дефектов, выявленных Заказчиком, осуществ</w:t>
      </w:r>
      <w:r>
        <w:rPr>
          <w:bCs/>
        </w:rPr>
        <w:t xml:space="preserve">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Повторная приемка Заказчиком выполненных Работ после устранения недостатков, указанных в Ведомости замечаний, осуществляется в порядке, предусмотренном пунктами 4.1-4.3 Договора.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недостатки, несоответствия и / или дефекты Р</w:t>
      </w:r>
      <w:r>
        <w:rPr>
          <w:bCs/>
        </w:rPr>
        <w:t xml:space="preserve">абот в срок, установленный Заказчиком в соответствии с пунктом 4.4 Договора,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</w:t>
      </w:r>
      <w:r>
        <w:rPr>
          <w:bCs/>
        </w:rPr>
        <w:t xml:space="preserve">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1" w:name="_Ref361337635"/>
      <w:r>
        <w:rPr>
          <w:bCs/>
        </w:rPr>
        <w:t xml:space="preserve">Подрядчик обязан представить Заказчику счета-фактуры, выставленные в сроки и оформленные в по</w:t>
      </w:r>
      <w:r>
        <w:rPr>
          <w:bCs/>
        </w:rPr>
        <w:t xml:space="preserve">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  <w:bookmarkEnd w:id="21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713" w:leader="none"/>
        </w:tabs>
      </w:pPr>
      <w:r>
        <w:t xml:space="preserve">При </w:t>
      </w:r>
      <w:r>
        <w:rPr>
          <w:bCs/>
        </w:rPr>
        <w:t xml:space="preserve">срыве срока ремонта объекта,</w:t>
      </w:r>
      <w:r>
        <w:rPr>
          <w:bCs/>
        </w:rPr>
        <w:t xml:space="preserve"> в обязательном порядке назначается комиссия и составляется совместный акт Заказчика и Подрядчика с указанием времени перепростоя в ремонте, причины перепростоя и виновности сторон, участвующих в организационно-техническом выполнении ремонта. Отказ или укл</w:t>
      </w:r>
      <w:r>
        <w:rPr>
          <w:bCs/>
        </w:rPr>
        <w:t xml:space="preserve">онение представителей Подрядчика от участия в составлении двустороннего акта, отказ Подрядчика от подписания в течение 3 дней двустороннего акта с признанием своей вины или отражением особого мнения рассматривается, как невыполнение договорных обязательств</w:t>
      </w:r>
      <w:r>
        <w:t xml:space="preserve">. </w:t>
      </w:r>
      <w:r/>
    </w:p>
    <w:p>
      <w:pPr>
        <w:pStyle w:val="1043"/>
        <w:ind w:left="0" w:firstLine="709"/>
        <w:jc w:val="both"/>
      </w:pPr>
      <w:r>
        <w:t xml:space="preserve">Заказчик и Подрядчик обязаны совместно разработать программу мероприятий по ликвидации отставания от установленных сроков выполнения работ в минимальный срок.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2" w:name="_Ref361405028"/>
      <w:r>
        <w:rPr>
          <w:bCs/>
        </w:rPr>
        <w:t xml:space="preserve">Риск случайной гибели или повреждения Результата Работ в отношении каждого Объекта, включая Материально-технические ресурсы, переходит к Заказчику с момента подписания Акта </w:t>
      </w:r>
      <w:r>
        <w:t xml:space="preserve">КС-2</w:t>
      </w:r>
      <w:r>
        <w:rPr>
          <w:bCs/>
        </w:rPr>
        <w:t xml:space="preserve"> по соответствующему Объекту. До подписания Сторонами указанного Акта риск случайной гибели или повреждения Результата Работ по Объекту и Материально-технических ресурсов, несет Подрядчик.</w:t>
      </w:r>
      <w:bookmarkEnd w:id="22"/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21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В случае нарушения Заказчиком сроков оплаты, установленных разделом 3 Договора, Подрядчик вправе потребовать уплаты Зака</w:t>
      </w:r>
      <w:r>
        <w:rPr>
          <w:bCs/>
          <w:sz w:val="24"/>
          <w:szCs w:val="24"/>
        </w:rPr>
        <w:t xml:space="preserve">зчиком исключительной неустойки в </w:t>
      </w:r>
      <w:r>
        <w:rPr>
          <w:bCs/>
          <w:sz w:val="24"/>
          <w:szCs w:val="24"/>
          <w:highlight w:val="white"/>
        </w:rPr>
        <w:t xml:space="preserve">размер</w:t>
      </w:r>
      <w:r>
        <w:rPr>
          <w:bCs/>
          <w:sz w:val="24"/>
          <w:szCs w:val="24"/>
          <w:highlight w:val="white"/>
        </w:rPr>
        <w:t xml:space="preserve">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 случае нарушения Подрядчиком обязательств по выполнению Работ, </w:t>
      </w:r>
      <w:r>
        <w:rPr>
          <w:bCs/>
          <w:highlight w:val="white"/>
        </w:rPr>
        <w:t xml:space="preserve">в том числе сроков выполнения Работ, установленных Графиком и Договором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а также в случае несвоевременного устранения выявленных недостатков результатов Работ, Заказчик вправе </w:t>
      </w:r>
      <w:r>
        <w:rPr>
          <w:bCs/>
          <w:highlight w:val="white"/>
        </w:rPr>
        <w:t xml:space="preserve">потре</w:t>
      </w:r>
      <w:r>
        <w:rPr>
          <w:bCs/>
          <w:highlight w:val="white"/>
        </w:rPr>
        <w:t xml:space="preserve">бовать уплаты Подрядчиком неустойки в размере 0,1 (ноль целых и одна десятая) % от Цены Договора за каждый день просрочки</w:t>
      </w:r>
      <w:r>
        <w:rPr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highlight w:val="white"/>
        </w:rPr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</w:t>
      </w:r>
      <w:r>
        <w:rPr>
          <w:bCs/>
        </w:rPr>
        <w:t xml:space="preserve">ы </w:t>
      </w:r>
      <w:r>
        <w:rPr>
          <w:bCs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№4 к Договору.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bCs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bCs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Cs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4.8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rPr>
          <w:bCs/>
        </w:rPr>
      </w:pPr>
      <w:r>
        <w:rPr>
          <w:bCs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Определение суммы неустойки, подлежащей уплате, возможно в досудебном</w:t>
      </w:r>
      <w:r>
        <w:rPr>
          <w:bCs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t xml:space="preserve"> </w:t>
      </w:r>
      <w:r>
        <w:rPr>
          <w:bCs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1"/>
          <w:numId w:val="21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/>
      <w:bookmarkStart w:id="23" w:name="_Ref361337777"/>
      <w:r>
        <w:rPr>
          <w:sz w:val="24"/>
          <w:szCs w:val="24"/>
        </w:rPr>
        <w:t xml:space="preserve">Гарантийный</w:t>
      </w:r>
      <w:r>
        <w:rPr>
          <w:bCs/>
          <w:sz w:val="24"/>
          <w:szCs w:val="24"/>
        </w:rPr>
        <w:t xml:space="preserve"> срок составляет </w:t>
      </w:r>
      <w:r>
        <w:rPr>
          <w:sz w:val="24"/>
          <w:szCs w:val="24"/>
        </w:rPr>
        <w:t xml:space="preserve">24 </w:t>
      </w:r>
      <w:r>
        <w:rPr>
          <w:bCs/>
          <w:sz w:val="24"/>
          <w:szCs w:val="24"/>
        </w:rPr>
        <w:t xml:space="preserve">(двадцать четыре)</w:t>
      </w:r>
      <w:r>
        <w:rPr>
          <w:sz w:val="24"/>
          <w:szCs w:val="24"/>
        </w:rPr>
        <w:t xml:space="preserve"> месяца</w:t>
      </w:r>
      <w:r>
        <w:rPr>
          <w:bCs/>
          <w:sz w:val="24"/>
          <w:szCs w:val="24"/>
        </w:rPr>
        <w:t xml:space="preserve"> и начинает течь с даты подписания Сторонами последнего А</w:t>
      </w:r>
      <w:r>
        <w:rPr>
          <w:sz w:val="24"/>
          <w:szCs w:val="24"/>
        </w:rPr>
        <w:t xml:space="preserve">кта </w:t>
      </w:r>
      <w:r>
        <w:rPr>
          <w:bCs/>
          <w:sz w:val="24"/>
          <w:szCs w:val="24"/>
        </w:rPr>
        <w:t xml:space="preserve">КС-2 по соответствующему Объекту </w:t>
      </w:r>
      <w:bookmarkEnd w:id="23"/>
      <w:r>
        <w:rPr>
          <w:bCs/>
          <w:sz w:val="24"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4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4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5" w:name="OLE_LINK5"/>
      <w:r/>
      <w:bookmarkStart w:id="26" w:name="OLE_LINK6"/>
      <w:r>
        <w:rPr>
          <w:bCs/>
        </w:rPr>
        <w:t xml:space="preserve">Акте о недостатках, составленном в порядке, установленном пунктом 7.5 Договора</w:t>
      </w:r>
      <w:bookmarkEnd w:id="25"/>
      <w:r/>
      <w:bookmarkEnd w:id="26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7.1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color w:val="000000"/>
        </w:rPr>
      </w:pPr>
      <w:r>
        <w:rPr>
          <w:bCs/>
        </w:rPr>
        <w:t xml:space="preserve">Устранение недостатко</w:t>
      </w:r>
      <w:r>
        <w:rPr>
          <w:bCs/>
        </w:rPr>
        <w:t xml:space="preserve">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spacing w:line="240" w:lineRule="auto"/>
        <w:shd w:val="clear" w:color="auto" w:fill="ffffff"/>
        <w:tabs>
          <w:tab w:val="left" w:pos="56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 и ремонта.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</w:t>
      </w:r>
      <w:r>
        <w:rPr>
          <w:bCs/>
        </w:rPr>
        <w:t xml:space="preserve">ше срока эксплуатации Результата Работ, и в том объеме (пределах), который требуется для эксплуатации и ремонта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</w:t>
      </w:r>
      <w:r>
        <w:rPr>
          <w:bCs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6"/>
        </w:numPr>
        <w:ind w:left="0" w:firstLine="709"/>
        <w:jc w:val="both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t xml:space="preserve">м, в том числе по причине </w:t>
      </w:r>
      <w:r>
        <w:rPr>
          <w:bCs/>
        </w:rPr>
        <w:t xml:space="preserve">введения в отношении нее режима Коммерческой тайны;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6"/>
        </w:numPr>
        <w:ind w:left="0" w:firstLine="709"/>
        <w:jc w:val="both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7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7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9.6.7 Договора;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</w:t>
      </w:r>
      <w:r>
        <w:rPr>
          <w:bCs/>
        </w:rPr>
        <w:t xml:space="preserve">ядчиком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28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8"/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9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9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ind w:left="0" w:firstLine="709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15" w:leader="none"/>
        </w:tabs>
      </w:pPr>
      <w: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</w:t>
      </w:r>
      <w:r>
        <w:t xml:space="preserve">дставители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представителем другой С</w:t>
      </w:r>
      <w: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25" w:leader="none"/>
        </w:tabs>
      </w:pPr>
      <w: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21" w:leader="none"/>
        </w:tabs>
      </w:pPr>
      <w: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25" w:leader="none"/>
        </w:tabs>
      </w:pPr>
      <w: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25" w:leader="none"/>
        </w:tabs>
      </w:pPr>
      <w:r>
        <w:t xml:space="preserve">Стороны гарантируют осуществление надлежащего ра</w:t>
      </w:r>
      <w:r>
        <w:t xml:space="preserve">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</w:t>
      </w:r>
      <w:r>
        <w:t xml:space="preserve">уведомившей   Стороны в целом, так и для конкретных работников уведомившей Стороны, сообщивших о факте нарушении.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Каналы связи Линия доверия Группы РусГидро: </w:t>
      </w:r>
      <w:r/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Электронная почта: ld@rushydro.ru;</w:t>
      </w:r>
      <w:r/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110" w:leader="none"/>
          <w:tab w:val="left" w:pos="1418" w:leader="none"/>
        </w:tabs>
      </w:pPr>
      <w:r>
        <w:t xml:space="preserve">Специальная форма «обратной связи», размещенная на официальном сайте Общества в сети интернет: </w:t>
      </w:r>
      <w:hyperlink r:id="rId13" w:tooltip="http://www.rushydro.ru/" w:history="1">
        <w:r>
          <w:t xml:space="preserve">http://www.rushydro.ru/</w:t>
        </w:r>
      </w:hyperlink>
      <w:r>
        <w:t xml:space="preserve"> (далее перейти по ссылке «Линия доверия» и заполнить поля специальной формы «обратной связи»);</w:t>
      </w:r>
      <w:r/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/>
    </w:p>
    <w:p>
      <w:pPr>
        <w:ind w:firstLine="709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</w:t>
      </w:r>
      <w:r>
        <w:rPr>
          <w:bCs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</w:t>
      </w:r>
      <w:r>
        <w:rPr>
          <w:bCs/>
        </w:rPr>
        <w:t xml:space="preserve">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</w:t>
      </w:r>
      <w:r>
        <w:rPr>
          <w:bCs/>
        </w:rPr>
        <w:t xml:space="preserve">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</w:t>
      </w:r>
      <w:r>
        <w:rPr>
          <w:bCs/>
        </w:rPr>
        <w:t xml:space="preserve">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4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5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</w:t>
      </w:r>
      <w:r>
        <w:rPr>
          <w:bCs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3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16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0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0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1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1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2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 Договора.</w:t>
      </w:r>
      <w:bookmarkEnd w:id="32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3" w:name="_Ref373243071"/>
      <w:r>
        <w:rPr>
          <w:bCs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3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4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 / или нарушившим свои обязательства по Договору.</w:t>
      </w:r>
      <w:bookmarkEnd w:id="34"/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она получила все корпоративные одо</w:t>
      </w:r>
      <w: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ind w:left="720" w:firstLine="0"/>
        <w:shd w:val="clear" w:color="auto" w:fill="ffffff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заявляет и заверяет Заказчика в том, что на момент заключения Договора: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учредителем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руководителем Подрядчика является лицо, не являющееся массовым руководителем;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Подрядчик фактически находится по адресу, указанному в Едином государственном реестре юридических лиц; 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  <w:rPr>
          <w:highlight w:val="white"/>
        </w:rPr>
      </w:pPr>
      <w: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t xml:space="preserve">граничиваясь: решения судов различных юрисдикций, решения органов государственной </w:t>
      </w:r>
      <w:r>
        <w:rPr>
          <w:highlight w:val="white"/>
        </w:rPr>
        <w:t xml:space="preserve">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Подрядчик состоит в саморегулируемой организации, основанной на членстве лиц, осуществляющих строительство</w:t>
      </w:r>
      <w:r>
        <w:rPr>
          <w:highlight w:val="white"/>
        </w:rPr>
        <w:t xml:space="preserve">;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Подрядчик имеет в штате по основному месту работы не менее 2 (двух) специалистов по организации строительства, сведения о которых включены в Национальный реестр специалистов в области строительства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  <w:rPr>
          <w:highlight w:val="white"/>
        </w:rPr>
      </w:pPr>
      <w:r>
        <w:rPr>
          <w:highlight w:val="white"/>
        </w:rP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rPr>
          <w:highlight w:val="white"/>
        </w:rP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rPr>
          <w:highlight w:val="white"/>
        </w:rPr>
        <w:t xml:space="preserve">Подрядчик тщательно изучил всю информацию, связанную с Догов</w:t>
      </w:r>
      <w:r>
        <w:rPr>
          <w:highlight w:val="white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</w:t>
      </w:r>
      <w:r>
        <w:t xml:space="preserve">ает на себя все расходы, риски и трудности исполнения обязательств, возникающих из Договора или в связи с ним;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1043"/>
        <w:numPr>
          <w:ilvl w:val="0"/>
          <w:numId w:val="38"/>
        </w:numPr>
        <w:ind w:left="0" w:firstLine="567"/>
        <w:jc w:val="both"/>
        <w:shd w:val="clear" w:color="auto" w:fill="ffffff"/>
        <w:tabs>
          <w:tab w:val="left" w:pos="992" w:leader="none"/>
        </w:tabs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/>
    </w:p>
    <w:p>
      <w:pPr>
        <w:numPr>
          <w:ilvl w:val="1"/>
          <w:numId w:val="21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 если </w:t>
      </w:r>
      <w:r>
        <w:rPr>
          <w:bCs/>
        </w:rPr>
        <w:t xml:space="preserve">Подрядчик</w:t>
      </w:r>
      <w: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Подрядчик </w:t>
      </w:r>
      <w:r>
        <w:t xml:space="preserve">обязан по </w:t>
      </w:r>
      <w:r>
        <w:t xml:space="preserve">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пунктом 16.7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Стороны установили, что существенным нарушением Договора Подрядчиком является: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нарушение Подрядчиком начального и конечного сроков выполнения Работ по Договору, </w:t>
      </w:r>
      <w:r>
        <w:rPr>
          <w:highlight w:val="white"/>
        </w:rPr>
        <w:t xml:space="preserve"> а также промежуточных сроков выполнения Работ, установленных Договором, графиком</w:t>
      </w:r>
      <w:r>
        <w:rPr>
          <w:bCs/>
          <w:highlight w:val="white"/>
        </w:rPr>
        <w:t xml:space="preserve"> производства работ (Приложение №3 к Договору)</w:t>
      </w:r>
      <w:r>
        <w:rPr>
          <w:highlight w:val="white"/>
        </w:rPr>
        <w:t xml:space="preserve"> более чем на 60 (шестьдесят) календарных дней по причинам, не зависящим от Заказчика;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</w:pPr>
      <w:r>
        <w:rPr>
          <w:highlight w:val="white"/>
        </w:rPr>
        <w:t xml:space="preserve">несоблюдение Подрядчиком требований к качеству Работ и / или используемых при выполнении Работ </w:t>
      </w:r>
      <w:r>
        <w:rPr>
          <w:highlight w:val="white"/>
        </w:rPr>
        <w:t xml:space="preserve">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</w:t>
      </w:r>
      <w:r>
        <w:t xml:space="preserve">ие недостатки являются неустранимыми;</w:t>
      </w:r>
      <w:r/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043"/>
        <w:numPr>
          <w:ilvl w:val="0"/>
          <w:numId w:val="63"/>
        </w:numPr>
        <w:ind w:left="0" w:right="23" w:firstLine="709"/>
        <w:jc w:val="both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прекращение членства в саморегулируемой организации, основанной на членстве лиц, осуществляющих строительство, предоставляющих Подрядчику право на производство Работ по Договору;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</w:pPr>
      <w: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</w:pPr>
      <w: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/>
    </w:p>
    <w:p>
      <w:pPr>
        <w:pStyle w:val="1043"/>
        <w:numPr>
          <w:ilvl w:val="0"/>
          <w:numId w:val="8"/>
        </w:numPr>
        <w:ind w:left="0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Договора, и имеющих существенное значение для его заключения и исполнения.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отказа Заказчика от Договора в случаях, предусмотренных пунктами 14.2, 14.3 Договора, последний считается прекращенным (расторгнутым) со дня, следующего за </w:t>
      </w:r>
      <w:r>
        <w:t xml:space="preserve">днем получения Подрядчиком уведомления Заказчика об отказе от Договора (исполнения Договора). 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 (-ов)), и в согласованные Сторонами сроки:</w:t>
      </w:r>
      <w:r/>
    </w:p>
    <w:p>
      <w:pPr>
        <w:pStyle w:val="1043"/>
        <w:numPr>
          <w:ilvl w:val="0"/>
          <w:numId w:val="37"/>
        </w:numPr>
        <w:ind w:left="0" w:firstLine="360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передать Заказчику Результат Работ, техническую и иную полученную документацию;</w:t>
      </w:r>
      <w:r/>
    </w:p>
    <w:p>
      <w:pPr>
        <w:pStyle w:val="1043"/>
        <w:numPr>
          <w:ilvl w:val="0"/>
          <w:numId w:val="37"/>
        </w:numPr>
        <w:ind w:left="0" w:firstLine="360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вывезти с места производства Работ собственную строительную технику и персонал Подрядчика; </w:t>
      </w:r>
      <w:r/>
    </w:p>
    <w:p>
      <w:pPr>
        <w:pStyle w:val="1043"/>
        <w:numPr>
          <w:ilvl w:val="0"/>
          <w:numId w:val="37"/>
        </w:numPr>
        <w:ind w:left="0" w:firstLine="360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удалить с места производства Работ весь мусор и все остаточные продукты любого рода и оставить место производства работ чистым и безопасным.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t xml:space="preserve">ис</w:t>
      </w:r>
      <w:r>
        <w:t xml:space="preserve">ключением обязательств по незавершенным расчетам, гарантийным обязательствам Подрядчика в 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Споры, указанные в пункте 15.1 Договора, которые не были урегулированы Сторонами путем переговоров, подлежат разрешению в Арбитражном суде Приморского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0"/>
          <w:numId w:val="21"/>
        </w:numPr>
        <w:ind w:left="0" w:firstLine="709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</w:t>
      </w:r>
      <w:r>
        <w:rPr>
          <w:rStyle w:val="1090"/>
          <w:rFonts w:eastAsia="Arial"/>
          <w:color w:val="000000"/>
          <w:shd w:val="clear" w:color="auto" w:fill="ffffff"/>
        </w:rPr>
        <w:t xml:space="preserve">вступает в силу с </w:t>
      </w:r>
      <w:r>
        <w:rPr>
          <w:color w:val="000000"/>
          <w:shd w:val="clear" w:color="auto" w:fill="ffffff"/>
        </w:rPr>
        <w:t xml:space="preserve">даты его подписания Сторонами и действует до 31.01.2027, а в части неисполненных обязательств – до полного их исполнения Сторонами. </w:t>
      </w:r>
      <w:r>
        <w:t xml:space="preserve"> 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Сторон, за исключением случаев изменения реквизитов Сторон, предусмотренных пунктом 16.6 Договора. 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16.7 Договора. Использование средств </w:t>
      </w:r>
      <w:r>
        <w:t xml:space="preserve">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35" w:name="_Ref361338004"/>
      <w:r>
        <w:t xml:space="preserve">Стороны обязуются уведомлять друг друга об изменении адреса и / или реквизитов,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5"/>
      <w:r>
        <w:t xml:space="preserve"> 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6" w:name="_Ref361338019"/>
      <w:r>
        <w:t xml:space="preserve">Письма, уведомления и / 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</w:rPr>
        <w:t xml:space="preserve"> будет считаться полученным:</w:t>
      </w:r>
      <w:bookmarkEnd w:id="36"/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37" w:name="_Ref361338032"/>
      <w:r>
        <w:rPr>
          <w:bCs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2"/>
          <w:numId w:val="21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заказным почтовым отп</w:t>
      </w:r>
      <w:r>
        <w:rPr>
          <w:bCs/>
        </w:rPr>
        <w:t xml:space="preserve">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7"/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jc w:val="both"/>
        <w:shd w:val="clear" w:color="auto" w:fill="ffffff"/>
        <w:tabs>
          <w:tab w:val="left" w:pos="1701" w:leader="none"/>
        </w:tabs>
      </w:pPr>
      <w:r>
        <w:rPr>
          <w:bCs/>
        </w:rPr>
        <w:t xml:space="preserve">16.7.3.</w:t>
      </w:r>
      <w:r>
        <w:rPr>
          <w:bCs/>
        </w:rPr>
        <w:tab/>
        <w:t xml:space="preserve">п</w:t>
      </w:r>
      <w:r>
        <w:rPr>
          <w:bCs/>
        </w:rPr>
        <w:t xml:space="preserve">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bCs/>
        </w:rPr>
        <w:t xml:space="preserve">э</w:t>
      </w:r>
      <w:r/>
    </w:p>
    <w:p>
      <w:pPr>
        <w:pStyle w:val="1043"/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Оригиналы документов, направленных посредством электронной почты, должны не позднее следующего рабочего дня быть направлены Стороной-отправителем способами, указанными в пунктах 16.7.1-16.7.2 Договора.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21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  <w:highlight w:val="white"/>
        </w:rPr>
      </w:pPr>
      <w:r>
        <w:rPr>
          <w:highlight w:val="white"/>
        </w:rPr>
        <w:t xml:space="preserve">Уступка, передача в залог, прав (требований), принадлежащих Подрядчику на основании Договора, допускается только с предварительного письменного согласия Заказчика.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>
        <w:rPr>
          <w:highlight w:val="white"/>
        </w:rPr>
      </w:r>
      <w:r>
        <w:rPr>
          <w:highlight w:val="white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highlight w:val="white"/>
        </w:rPr>
        <w:t xml:space="preserve">Стороны договорились </w:t>
      </w:r>
      <w:r>
        <w:rPr>
          <w:rStyle w:val="1090"/>
          <w:rFonts w:eastAsia="Arial"/>
          <w:color w:val="000000"/>
          <w:highlight w:val="white"/>
        </w:rPr>
        <w:t xml:space="preserve">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</w:t>
      </w:r>
      <w:r>
        <w:rPr>
          <w:color w:val="000000"/>
          <w:highlight w:val="white"/>
        </w:rPr>
        <w:t xml:space="preserve">нного документооборота (аккредитованных ФНС РФ), с которыми </w:t>
      </w:r>
      <w:r>
        <w:rPr>
          <w:color w:val="000000"/>
        </w:rPr>
        <w:t xml:space="preserve">у Сторон заключены соответствующи</w:t>
      </w:r>
      <w:r>
        <w:rPr>
          <w:color w:val="000000"/>
        </w:rPr>
        <w:t xml:space="preserve">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(https://www.diadoc.ru/). В случае использования Подрядч</w:t>
      </w:r>
      <w:r>
        <w:rPr>
          <w:color w:val="000000"/>
        </w:rP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С</w:t>
      </w:r>
      <w:r>
        <w:rPr>
          <w:color w:val="000000"/>
          <w:highlight w:val="none"/>
        </w:rPr>
        <w:t xml:space="preserve">тороны обязуются соблюдать требования, указанные в Постановлении Правительства Российской Федерации от 23 декабря 2024 г. №1875 «О мерах по предоставлению национального режима при осуществлении закупок товаров, работ, услуг для обеспечения государственных </w:t>
      </w:r>
      <w:r>
        <w:rPr>
          <w:color w:val="000000"/>
          <w:highlight w:val="none"/>
        </w:rPr>
        <w:t xml:space="preserve">и муниципальных нужд, закупок товаров, работ, услуг отдельными видами юридических лиц», в части закупок материально-технических ресурсов</w:t>
      </w:r>
      <w:r>
        <w:rPr>
          <w:color w:val="000000"/>
          <w:highlight w:val="none"/>
        </w:rPr>
        <w:t xml:space="preserve">.</w:t>
      </w:r>
      <w:r>
        <w:rPr>
          <w:color w:val="000000"/>
          <w:highlight w:val="none"/>
        </w:rPr>
      </w:r>
      <w:r/>
    </w:p>
    <w:p>
      <w:pPr>
        <w:pStyle w:val="1043"/>
        <w:numPr>
          <w:ilvl w:val="1"/>
          <w:numId w:val="2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color w:val="000000"/>
          <w:highlight w:val="none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</w:t>
      </w:r>
      <w:r>
        <w:rPr>
          <w:color w:val="000000"/>
          <w:highlight w:val="none"/>
        </w:rPr>
      </w:r>
      <w:r/>
    </w:p>
    <w:p>
      <w:pPr>
        <w:pStyle w:val="1043"/>
        <w:numPr>
          <w:ilvl w:val="1"/>
          <w:numId w:val="21"/>
        </w:numPr>
        <w:ind w:left="0" w:firstLine="709"/>
        <w:widowControl w:val="off"/>
        <w:tabs>
          <w:tab w:val="left" w:pos="0" w:leader="none"/>
        </w:tabs>
        <w:rPr>
          <w:bCs/>
        </w:rPr>
      </w:pPr>
      <w:r>
        <w:rPr>
          <w:bCs/>
        </w:rPr>
        <w:t xml:space="preserve"> Реквизиты для заполнения счетов – фактур: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Покупатель (строка 6): АО «ДГК»</w:t>
      </w:r>
      <w:r>
        <w:rPr>
          <w:bCs/>
        </w:rPr>
      </w:r>
      <w:r>
        <w:rPr>
          <w:bCs/>
        </w:rPr>
      </w:r>
    </w:p>
    <w:p>
      <w:pPr>
        <w:pStyle w:val="1043"/>
        <w:ind w:left="0" w:firstLine="709"/>
        <w:widowControl w:val="o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Адрес (строка 6а): 680000, г. Хабаровск, ул. Фрунзе, 49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widowControl w:val="o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ИНН (строка 6б): 1434031363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709"/>
        <w:jc w:val="both"/>
        <w:widowControl w:val="o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КПП (строка 6б):  253645001.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1"/>
          <w:numId w:val="21"/>
        </w:numPr>
        <w:ind w:left="0" w:firstLine="709"/>
        <w:jc w:val="both"/>
        <w:widowControl w:val="off"/>
        <w:tabs>
          <w:tab w:val="left" w:pos="0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По окончании выполнения  работ стороны подписывают акт сверки взаимных расчетов по форме (Приложение №9 к Договору).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 w:firstLine="567"/>
        <w:shd w:val="clear" w:color="auto" w:fill="ffffff"/>
        <w:rPr>
          <w:bCs/>
          <w:highlight w:val="white"/>
        </w:rPr>
      </w:pPr>
      <w:r>
        <w:rPr>
          <w:bCs/>
          <w:highlight w:val="white"/>
        </w:rPr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numPr>
          <w:ilvl w:val="0"/>
          <w:numId w:val="2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Список приложений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1043"/>
        <w:ind w:left="0"/>
        <w:jc w:val="both"/>
        <w:shd w:val="clear" w:color="auto" w:fill="ffffff"/>
        <w:rPr>
          <w:bCs/>
          <w:highlight w:val="white"/>
        </w:rPr>
      </w:pPr>
      <w:r>
        <w:rPr>
          <w:highlight w:val="white"/>
        </w:rPr>
        <w:t xml:space="preserve">Приложение №</w:t>
      </w:r>
      <w:r>
        <w:rPr>
          <w:bCs/>
          <w:highlight w:val="white"/>
        </w:rPr>
        <w:t xml:space="preserve">1 – Техническое задание (с приложениями №1.1, №1</w:t>
      </w:r>
      <w:r>
        <w:rPr>
          <w:bCs/>
          <w:highlight w:val="white"/>
        </w:rPr>
        <w:t xml:space="preserve">.2).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3"/>
        <w:ind w:left="0"/>
        <w:jc w:val="both"/>
        <w:shd w:val="clear" w:color="auto" w:fill="ffffff"/>
        <w:rPr>
          <w:highlight w:val="white"/>
        </w:rPr>
      </w:pPr>
      <w:r>
        <w:rPr>
          <w:bCs/>
          <w:highlight w:val="white"/>
        </w:rPr>
        <w:t xml:space="preserve">Приложение №2 –Сводный сметный расчет (</w:t>
      </w:r>
      <w:r>
        <w:rPr>
          <w:bCs/>
          <w:highlight w:val="white"/>
        </w:rPr>
        <w:t xml:space="preserve">с приложениями №2.1, №2.2, №2.3)</w:t>
      </w:r>
      <w:r>
        <w:rPr>
          <w:bCs/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№3 –График</w:t>
      </w:r>
      <w:r>
        <w:rPr>
          <w:bCs/>
          <w:sz w:val="24"/>
          <w:szCs w:val="24"/>
          <w:highlight w:val="white"/>
        </w:rPr>
        <w:t xml:space="preserve"> производства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right="78" w:firstLine="0"/>
        <w:spacing w:line="276" w:lineRule="exact"/>
        <w:shd w:val="clear" w:color="auto" w:fill="ffffff"/>
        <w:widowControl w:val="off"/>
        <w:tabs>
          <w:tab w:val="left" w:pos="506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№4 – Размер ответственности Подрядчика за нарушения пропускного и внутриобъектового режима, требований охраны труда, пожарной и промышленной безопасности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right="78" w:firstLine="0"/>
        <w:spacing w:line="276" w:lineRule="exact"/>
        <w:shd w:val="clear" w:color="auto" w:fill="ffffff"/>
        <w:widowControl w:val="off"/>
        <w:tabs>
          <w:tab w:val="left" w:pos="506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Приложение №5 - Памятка об обязанности и ответственности работника при выполнении работ, нахождении на территории энергообъекта АО «ДГК».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Приложение №6 - Информация о цепочке собстве</w:t>
      </w:r>
      <w:r>
        <w:rPr>
          <w:sz w:val="24"/>
          <w:szCs w:val="24"/>
        </w:rPr>
        <w:t xml:space="preserve">нников.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№7 – Форма ведомости выполненных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№8 - Форма справки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 заключенных договорах Подрядчика по договору с Субподрядчиками, являющимися субъектами малого и среднего предпринимательства.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№9 - Форма Акта сверки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№10 – </w:t>
      </w:r>
      <w:r>
        <w:rPr>
          <w:sz w:val="24"/>
          <w:szCs w:val="24"/>
        </w:rPr>
        <w:t xml:space="preserve">Форма акт предремонтного обследования объекта.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jc w:val="left"/>
        <w:spacing w:line="240" w:lineRule="auto"/>
        <w:rPr>
          <w:b/>
          <w:bCs/>
          <w:spacing w:val="-3"/>
          <w:sz w:val="24"/>
          <w:szCs w:val="24"/>
        </w:rPr>
      </w:pPr>
      <w:r>
        <w:rPr>
          <w:sz w:val="24"/>
          <w:szCs w:val="24"/>
        </w:rPr>
        <w:t xml:space="preserve">Приложение №11 - </w:t>
      </w:r>
      <w:r>
        <w:rPr>
          <w:bCs/>
          <w:sz w:val="24"/>
          <w:szCs w:val="24"/>
        </w:rPr>
        <w:t xml:space="preserve">Перечень допусков, разрешений и лицензий Подрядчика</w:t>
      </w:r>
      <w:r>
        <w:rPr>
          <w:b/>
          <w:bCs/>
          <w:spacing w:val="-3"/>
          <w:sz w:val="24"/>
          <w:szCs w:val="24"/>
        </w:rPr>
      </w:r>
      <w:r>
        <w:rPr>
          <w:b/>
          <w:bCs/>
          <w:spacing w:val="-3"/>
          <w:sz w:val="24"/>
          <w:szCs w:val="24"/>
        </w:rPr>
      </w:r>
    </w:p>
    <w:p>
      <w:pPr>
        <w:pStyle w:val="104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№12 – Форма Акта сдачи-приемки технической и иной документации.</w:t>
      </w:r>
      <w:r>
        <w:rPr>
          <w:bCs/>
        </w:rPr>
      </w:r>
      <w:r>
        <w:rPr>
          <w:bCs/>
        </w:rPr>
      </w:r>
    </w:p>
    <w:p>
      <w:pPr>
        <w:pStyle w:val="1043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№13 – </w:t>
      </w:r>
      <w:r>
        <w:rPr>
          <w:sz w:val="24"/>
          <w:szCs w:val="24"/>
          <w:lang w:eastAsia="en-US"/>
        </w:rPr>
        <w:t xml:space="preserve">Форма а</w:t>
      </w:r>
      <w:r>
        <w:rPr>
          <w:sz w:val="24"/>
          <w:szCs w:val="24"/>
        </w:rPr>
        <w:t xml:space="preserve">кта о приемке объекта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№14 - Форма </w:t>
      </w:r>
      <w:r>
        <w:rPr>
          <w:bCs/>
          <w:sz w:val="24"/>
          <w:szCs w:val="24"/>
        </w:rPr>
        <w:t xml:space="preserve">акта о приемке выполненных работ по форме № КС-2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№15 - </w:t>
      </w:r>
      <w:r>
        <w:rPr>
          <w:rFonts w:eastAsia="Calibri"/>
          <w:sz w:val="24"/>
          <w:szCs w:val="24"/>
          <w:lang w:eastAsia="en-US"/>
        </w:rPr>
        <w:t xml:space="preserve">Форма </w:t>
      </w:r>
      <w:r>
        <w:rPr>
          <w:bCs/>
          <w:sz w:val="24"/>
          <w:szCs w:val="24"/>
        </w:rPr>
        <w:t xml:space="preserve">справки о стоимости выполненных работ и затрат по форме № КС-3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№16 - Форма общего журнала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right="72" w:firstLine="0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lang w:eastAsia="en-US"/>
        </w:rPr>
        <w:t xml:space="preserve">Приложение №17 – Форма а</w:t>
      </w:r>
      <w:r>
        <w:rPr>
          <w:sz w:val="24"/>
          <w:szCs w:val="24"/>
        </w:rPr>
        <w:t xml:space="preserve">кта освидетельствования скрытых работ.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43"/>
        <w:numPr>
          <w:ilvl w:val="0"/>
          <w:numId w:val="2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4784"/>
        <w:gridCol w:w="5173"/>
        <w:gridCol w:w="216"/>
      </w:tblGrid>
      <w:tr>
        <w:tblPrEx/>
        <w:trPr>
          <w:gridAfter w:val="1"/>
        </w:trPr>
        <w:tc>
          <w:tcPr>
            <w:tcW w:w="4784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ЗАКАЗЧИК: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173" w:type="dxa"/>
            <w:textDirection w:val="lrTb"/>
            <w:noWrap w:val="false"/>
          </w:tcPr>
          <w:p>
            <w:r>
              <w:t xml:space="preserve">ПОДРЯДЧИК:</w:t>
            </w:r>
            <w:r/>
          </w:p>
        </w:tc>
      </w:tr>
    </w:tbl>
    <w:p>
      <w:pPr>
        <w:ind w:left="4820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9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11</w:t>
    </w:r>
    <w:r>
      <w:rPr>
        <w:sz w:val="24"/>
        <w:szCs w:val="24"/>
      </w:rPr>
      <w:fldChar w:fldCharType="end"/>
    </w:r>
    <w:r/>
  </w:p>
  <w:p>
    <w:pPr>
      <w:pStyle w:val="10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8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pStyle w:val="104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45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4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pStyle w:val="105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isLgl w:val="false"/>
      <w:suff w:val="tab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pStyle w:val="108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08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5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88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pStyle w:val="107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075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076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77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91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435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507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651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723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5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8673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03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8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0"/>
  </w:num>
  <w:num w:numId="3">
    <w:abstractNumId w:val="45"/>
  </w:num>
  <w:num w:numId="4">
    <w:abstractNumId w:val="32"/>
  </w:num>
  <w:num w:numId="5">
    <w:abstractNumId w:val="42"/>
  </w:num>
  <w:num w:numId="6">
    <w:abstractNumId w:val="38"/>
  </w:num>
  <w:num w:numId="7">
    <w:abstractNumId w:val="15"/>
  </w:num>
  <w:num w:numId="8">
    <w:abstractNumId w:val="29"/>
  </w:num>
  <w:num w:numId="9">
    <w:abstractNumId w:val="48"/>
  </w:num>
  <w:num w:numId="10">
    <w:abstractNumId w:val="19"/>
  </w:num>
  <w:num w:numId="11">
    <w:abstractNumId w:val="14"/>
  </w:num>
  <w:num w:numId="12">
    <w:abstractNumId w:val="7"/>
  </w:num>
  <w:num w:numId="13">
    <w:abstractNumId w:val="26"/>
  </w:num>
  <w:num w:numId="14">
    <w:abstractNumId w:val="24"/>
  </w:num>
  <w:num w:numId="15">
    <w:abstractNumId w:val="6"/>
  </w:num>
  <w:num w:numId="16">
    <w:abstractNumId w:val="3"/>
  </w:num>
  <w:num w:numId="17">
    <w:abstractNumId w:val="2"/>
  </w:num>
  <w:num w:numId="18">
    <w:abstractNumId w:val="4"/>
  </w:num>
  <w:num w:numId="19">
    <w:abstractNumId w:val="28"/>
  </w:num>
  <w:num w:numId="20">
    <w:abstractNumId w:val="35"/>
  </w:num>
  <w:num w:numId="21">
    <w:abstractNumId w:val="41"/>
  </w:num>
  <w:num w:numId="22">
    <w:abstractNumId w:val="17"/>
  </w:num>
  <w:num w:numId="23">
    <w:abstractNumId w:val="0"/>
  </w:num>
  <w:num w:numId="24">
    <w:abstractNumId w:val="27"/>
  </w:num>
  <w:num w:numId="25">
    <w:abstractNumId w:val="21"/>
  </w:num>
  <w:num w:numId="26">
    <w:abstractNumId w:val="11"/>
  </w:num>
  <w:num w:numId="27">
    <w:abstractNumId w:val="30"/>
  </w:num>
  <w:num w:numId="28">
    <w:abstractNumId w:val="40"/>
  </w:num>
  <w:num w:numId="29">
    <w:abstractNumId w:val="23"/>
  </w:num>
  <w:num w:numId="30">
    <w:abstractNumId w:val="16"/>
  </w:num>
  <w:num w:numId="31">
    <w:abstractNumId w:val="25"/>
  </w:num>
  <w:num w:numId="32">
    <w:abstractNumId w:val="18"/>
  </w:num>
  <w:num w:numId="33">
    <w:abstractNumId w:val="31"/>
  </w:num>
  <w:num w:numId="34">
    <w:abstractNumId w:val="9"/>
  </w:num>
  <w:num w:numId="35">
    <w:abstractNumId w:val="33"/>
  </w:num>
  <w:num w:numId="36">
    <w:abstractNumId w:val="12"/>
  </w:num>
  <w:num w:numId="37">
    <w:abstractNumId w:val="39"/>
  </w:num>
  <w:num w:numId="38">
    <w:abstractNumId w:val="46"/>
  </w:num>
  <w:num w:numId="39">
    <w:abstractNumId w:val="34"/>
  </w:num>
  <w:num w:numId="40">
    <w:abstractNumId w:val="8"/>
  </w:num>
  <w:num w:numId="41">
    <w:abstractNumId w:val="22"/>
  </w:num>
  <w:num w:numId="42">
    <w:abstractNumId w:val="13"/>
  </w:num>
  <w:num w:numId="43">
    <w:abstractNumId w:val="43"/>
  </w:num>
  <w:num w:numId="44">
    <w:abstractNumId w:val="1"/>
  </w:num>
  <w:num w:numId="45">
    <w:abstractNumId w:val="44"/>
  </w:num>
  <w:num w:numId="46">
    <w:abstractNumId w:val="10"/>
  </w:num>
  <w:num w:numId="47">
    <w:abstractNumId w:val="47"/>
  </w:num>
  <w:num w:numId="48">
    <w:abstractNumId w:val="36"/>
  </w:num>
  <w:num w:numId="49">
    <w:abstractNumId w:val="37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46">
    <w:name w:val="Heading 4 Char"/>
    <w:basedOn w:val="866"/>
    <w:link w:val="860"/>
    <w:uiPriority w:val="9"/>
    <w:rPr>
      <w:rFonts w:ascii="Arial" w:hAnsi="Arial" w:eastAsia="Arial" w:cs="Arial"/>
      <w:b/>
      <w:bCs/>
      <w:sz w:val="26"/>
      <w:szCs w:val="26"/>
    </w:rPr>
  </w:style>
  <w:style w:type="character" w:styleId="847">
    <w:name w:val="Heading 5 Char"/>
    <w:basedOn w:val="866"/>
    <w:link w:val="861"/>
    <w:uiPriority w:val="9"/>
    <w:rPr>
      <w:rFonts w:ascii="Arial" w:hAnsi="Arial" w:eastAsia="Arial" w:cs="Arial"/>
      <w:b/>
      <w:bCs/>
      <w:sz w:val="24"/>
      <w:szCs w:val="24"/>
    </w:rPr>
  </w:style>
  <w:style w:type="character" w:styleId="848">
    <w:name w:val="Heading 6 Char"/>
    <w:basedOn w:val="866"/>
    <w:link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849">
    <w:name w:val="Heading 7 Char"/>
    <w:basedOn w:val="866"/>
    <w:link w:val="8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0">
    <w:name w:val="Heading 8 Char"/>
    <w:basedOn w:val="866"/>
    <w:link w:val="864"/>
    <w:uiPriority w:val="9"/>
    <w:rPr>
      <w:rFonts w:ascii="Arial" w:hAnsi="Arial" w:eastAsia="Arial" w:cs="Arial"/>
      <w:i/>
      <w:iCs/>
      <w:sz w:val="22"/>
      <w:szCs w:val="22"/>
    </w:rPr>
  </w:style>
  <w:style w:type="character" w:styleId="851">
    <w:name w:val="Heading 9 Char"/>
    <w:basedOn w:val="866"/>
    <w:link w:val="865"/>
    <w:uiPriority w:val="9"/>
    <w:rPr>
      <w:rFonts w:ascii="Arial" w:hAnsi="Arial" w:eastAsia="Arial" w:cs="Arial"/>
      <w:i/>
      <w:iCs/>
      <w:sz w:val="21"/>
      <w:szCs w:val="21"/>
    </w:rPr>
  </w:style>
  <w:style w:type="character" w:styleId="852">
    <w:name w:val="Subtitle Char"/>
    <w:basedOn w:val="866"/>
    <w:link w:val="880"/>
    <w:uiPriority w:val="11"/>
    <w:rPr>
      <w:sz w:val="24"/>
      <w:szCs w:val="24"/>
    </w:rPr>
  </w:style>
  <w:style w:type="character" w:styleId="853">
    <w:name w:val="Quote Char"/>
    <w:link w:val="882"/>
    <w:uiPriority w:val="29"/>
    <w:rPr>
      <w:i/>
    </w:rPr>
  </w:style>
  <w:style w:type="character" w:styleId="854">
    <w:name w:val="Intense Quote Char"/>
    <w:link w:val="884"/>
    <w:uiPriority w:val="30"/>
    <w:rPr>
      <w:i/>
    </w:rPr>
  </w:style>
  <w:style w:type="character" w:styleId="855">
    <w:name w:val="Header Char"/>
    <w:basedOn w:val="866"/>
    <w:link w:val="1028"/>
    <w:uiPriority w:val="99"/>
  </w:style>
  <w:style w:type="paragraph" w:styleId="856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57">
    <w:name w:val="Heading 1"/>
    <w:basedOn w:val="856"/>
    <w:next w:val="856"/>
    <w:link w:val="106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58">
    <w:name w:val="Heading 2"/>
    <w:basedOn w:val="856"/>
    <w:next w:val="856"/>
    <w:link w:val="106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59">
    <w:name w:val="Heading 3"/>
    <w:basedOn w:val="856"/>
    <w:next w:val="856"/>
    <w:link w:val="1042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860">
    <w:name w:val="Heading 4"/>
    <w:basedOn w:val="856"/>
    <w:next w:val="856"/>
    <w:link w:val="8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1">
    <w:name w:val="Heading 5"/>
    <w:basedOn w:val="856"/>
    <w:next w:val="856"/>
    <w:link w:val="8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2">
    <w:name w:val="Heading 6"/>
    <w:basedOn w:val="856"/>
    <w:next w:val="856"/>
    <w:link w:val="8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3">
    <w:name w:val="Heading 7"/>
    <w:basedOn w:val="856"/>
    <w:next w:val="856"/>
    <w:link w:val="8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4">
    <w:name w:val="Heading 8"/>
    <w:basedOn w:val="856"/>
    <w:next w:val="856"/>
    <w:link w:val="8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5">
    <w:name w:val="Heading 9"/>
    <w:basedOn w:val="856"/>
    <w:next w:val="856"/>
    <w:link w:val="8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Heading 1 Char"/>
    <w:basedOn w:val="866"/>
    <w:uiPriority w:val="9"/>
    <w:rPr>
      <w:rFonts w:ascii="Arial" w:hAnsi="Arial" w:eastAsia="Arial" w:cs="Arial"/>
      <w:sz w:val="40"/>
      <w:szCs w:val="40"/>
    </w:rPr>
  </w:style>
  <w:style w:type="character" w:styleId="870" w:customStyle="1">
    <w:name w:val="Heading 2 Char"/>
    <w:basedOn w:val="866"/>
    <w:uiPriority w:val="9"/>
    <w:rPr>
      <w:rFonts w:ascii="Arial" w:hAnsi="Arial" w:eastAsia="Arial" w:cs="Arial"/>
      <w:sz w:val="34"/>
    </w:rPr>
  </w:style>
  <w:style w:type="character" w:styleId="871" w:customStyle="1">
    <w:name w:val="Heading 3 Char"/>
    <w:basedOn w:val="866"/>
    <w:uiPriority w:val="9"/>
    <w:rPr>
      <w:rFonts w:ascii="Arial" w:hAnsi="Arial" w:eastAsia="Arial" w:cs="Arial"/>
      <w:sz w:val="30"/>
      <w:szCs w:val="30"/>
    </w:rPr>
  </w:style>
  <w:style w:type="character" w:styleId="872" w:customStyle="1">
    <w:name w:val="Заголовок 4 Знак"/>
    <w:basedOn w:val="866"/>
    <w:link w:val="860"/>
    <w:uiPriority w:val="9"/>
    <w:rPr>
      <w:rFonts w:ascii="Arial" w:hAnsi="Arial" w:eastAsia="Arial" w:cs="Arial"/>
      <w:b/>
      <w:bCs/>
      <w:sz w:val="26"/>
      <w:szCs w:val="26"/>
    </w:rPr>
  </w:style>
  <w:style w:type="character" w:styleId="873" w:customStyle="1">
    <w:name w:val="Заголовок 5 Знак"/>
    <w:basedOn w:val="866"/>
    <w:link w:val="861"/>
    <w:uiPriority w:val="9"/>
    <w:rPr>
      <w:rFonts w:ascii="Arial" w:hAnsi="Arial" w:eastAsia="Arial" w:cs="Arial"/>
      <w:b/>
      <w:bCs/>
      <w:sz w:val="24"/>
      <w:szCs w:val="24"/>
    </w:rPr>
  </w:style>
  <w:style w:type="character" w:styleId="874" w:customStyle="1">
    <w:name w:val="Заголовок 6 Знак"/>
    <w:basedOn w:val="866"/>
    <w:link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875" w:customStyle="1">
    <w:name w:val="Заголовок 7 Знак"/>
    <w:basedOn w:val="866"/>
    <w:link w:val="8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6" w:customStyle="1">
    <w:name w:val="Заголовок 8 Знак"/>
    <w:basedOn w:val="866"/>
    <w:link w:val="864"/>
    <w:uiPriority w:val="9"/>
    <w:rPr>
      <w:rFonts w:ascii="Arial" w:hAnsi="Arial" w:eastAsia="Arial" w:cs="Arial"/>
      <w:i/>
      <w:iCs/>
      <w:sz w:val="22"/>
      <w:szCs w:val="22"/>
    </w:rPr>
  </w:style>
  <w:style w:type="character" w:styleId="877" w:customStyle="1">
    <w:name w:val="Заголовок 9 Знак"/>
    <w:basedOn w:val="866"/>
    <w:link w:val="865"/>
    <w:uiPriority w:val="9"/>
    <w:rPr>
      <w:rFonts w:ascii="Arial" w:hAnsi="Arial" w:eastAsia="Arial" w:cs="Arial"/>
      <w:i/>
      <w:iCs/>
      <w:sz w:val="21"/>
      <w:szCs w:val="21"/>
    </w:rPr>
  </w:style>
  <w:style w:type="paragraph" w:styleId="878">
    <w:name w:val="No Spacing"/>
    <w:uiPriority w:val="1"/>
    <w:qFormat/>
  </w:style>
  <w:style w:type="character" w:styleId="879" w:customStyle="1">
    <w:name w:val="Title Char"/>
    <w:basedOn w:val="866"/>
    <w:uiPriority w:val="10"/>
    <w:rPr>
      <w:sz w:val="48"/>
      <w:szCs w:val="48"/>
    </w:rPr>
  </w:style>
  <w:style w:type="paragraph" w:styleId="880">
    <w:name w:val="Subtitle"/>
    <w:basedOn w:val="856"/>
    <w:next w:val="856"/>
    <w:link w:val="881"/>
    <w:uiPriority w:val="11"/>
    <w:qFormat/>
    <w:pPr>
      <w:spacing w:before="200" w:after="200"/>
    </w:pPr>
    <w:rPr>
      <w:sz w:val="24"/>
      <w:szCs w:val="24"/>
    </w:rPr>
  </w:style>
  <w:style w:type="character" w:styleId="881" w:customStyle="1">
    <w:name w:val="Подзаголовок Знак"/>
    <w:basedOn w:val="866"/>
    <w:link w:val="880"/>
    <w:uiPriority w:val="11"/>
    <w:rPr>
      <w:sz w:val="24"/>
      <w:szCs w:val="24"/>
    </w:rPr>
  </w:style>
  <w:style w:type="paragraph" w:styleId="882">
    <w:name w:val="Quote"/>
    <w:basedOn w:val="856"/>
    <w:next w:val="856"/>
    <w:link w:val="883"/>
    <w:uiPriority w:val="29"/>
    <w:qFormat/>
    <w:pPr>
      <w:ind w:left="720" w:right="720"/>
    </w:pPr>
    <w:rPr>
      <w:i/>
    </w:rPr>
  </w:style>
  <w:style w:type="character" w:styleId="883" w:customStyle="1">
    <w:name w:val="Цитата 2 Знак"/>
    <w:link w:val="882"/>
    <w:uiPriority w:val="29"/>
    <w:rPr>
      <w:i/>
    </w:rPr>
  </w:style>
  <w:style w:type="paragraph" w:styleId="884">
    <w:name w:val="Intense Quote"/>
    <w:basedOn w:val="856"/>
    <w:next w:val="856"/>
    <w:link w:val="8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5" w:customStyle="1">
    <w:name w:val="Выделенная цитата Знак"/>
    <w:link w:val="884"/>
    <w:uiPriority w:val="30"/>
    <w:rPr>
      <w:i/>
    </w:rPr>
  </w:style>
  <w:style w:type="character" w:styleId="886" w:customStyle="1">
    <w:name w:val="Верхний колонтитул Знак"/>
    <w:basedOn w:val="866"/>
    <w:link w:val="1028"/>
    <w:uiPriority w:val="99"/>
  </w:style>
  <w:style w:type="character" w:styleId="887" w:customStyle="1">
    <w:name w:val="Footer Char"/>
    <w:basedOn w:val="866"/>
    <w:uiPriority w:val="99"/>
  </w:style>
  <w:style w:type="character" w:styleId="888" w:customStyle="1">
    <w:name w:val="Caption Char"/>
    <w:uiPriority w:val="99"/>
  </w:style>
  <w:style w:type="table" w:styleId="889" w:customStyle="1">
    <w:name w:val="Table Grid Light"/>
    <w:basedOn w:val="86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90">
    <w:name w:val="Plain Table 1"/>
    <w:basedOn w:val="86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1">
    <w:name w:val="Plain Table 2"/>
    <w:basedOn w:val="86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2">
    <w:name w:val="Plain Table 3"/>
    <w:basedOn w:val="8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3">
    <w:name w:val="Plain Table 4"/>
    <w:basedOn w:val="8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Plain Table 5"/>
    <w:basedOn w:val="8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5">
    <w:name w:val="Grid Table 1 Light"/>
    <w:basedOn w:val="86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Grid Table 1 Light - Accent 1"/>
    <w:basedOn w:val="86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Grid Table 1 Light - Accent 2"/>
    <w:basedOn w:val="86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Grid Table 1 Light - Accent 3"/>
    <w:basedOn w:val="86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Grid Table 1 Light - Accent 4"/>
    <w:basedOn w:val="86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Grid Table 1 Light - Accent 5"/>
    <w:basedOn w:val="86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Grid Table 1 Light - Accent 6"/>
    <w:basedOn w:val="86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Grid Table 2"/>
    <w:basedOn w:val="8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2 - Accent 1"/>
    <w:basedOn w:val="86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2 - Accent 2"/>
    <w:basedOn w:val="86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2 - Accent 3"/>
    <w:basedOn w:val="86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2 - Accent 4"/>
    <w:basedOn w:val="86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2 - Accent 5"/>
    <w:basedOn w:val="86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2 - Accent 6"/>
    <w:basedOn w:val="86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"/>
    <w:basedOn w:val="8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3 - Accent 1"/>
    <w:basedOn w:val="86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3 - Accent 2"/>
    <w:basedOn w:val="86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3 - Accent 3"/>
    <w:basedOn w:val="86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3 - Accent 4"/>
    <w:basedOn w:val="86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3 - Accent 5"/>
    <w:basedOn w:val="86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3 - Accent 6"/>
    <w:basedOn w:val="86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4"/>
    <w:basedOn w:val="86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7" w:customStyle="1">
    <w:name w:val="Grid Table 4 - Accent 1"/>
    <w:basedOn w:val="86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18" w:customStyle="1">
    <w:name w:val="Grid Table 4 - Accent 2"/>
    <w:basedOn w:val="86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19" w:customStyle="1">
    <w:name w:val="Grid Table 4 - Accent 3"/>
    <w:basedOn w:val="86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20" w:customStyle="1">
    <w:name w:val="Grid Table 4 - Accent 4"/>
    <w:basedOn w:val="86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21" w:customStyle="1">
    <w:name w:val="Grid Table 4 - Accent 5"/>
    <w:basedOn w:val="86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22" w:customStyle="1">
    <w:name w:val="Grid Table 4 - Accent 6"/>
    <w:basedOn w:val="86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23">
    <w:name w:val="Grid Table 5 Dark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4" w:customStyle="1">
    <w:name w:val="Grid Table 5 Dark- Accent 1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25" w:customStyle="1">
    <w:name w:val="Grid Table 5 Dark - Accent 2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26" w:customStyle="1">
    <w:name w:val="Grid Table 5 Dark - Accent 3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27" w:customStyle="1">
    <w:name w:val="Grid Table 5 Dark- Accent 4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28" w:customStyle="1">
    <w:name w:val="Grid Table 5 Dark - Accent 5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29" w:customStyle="1">
    <w:name w:val="Grid Table 5 Dark - Accent 6"/>
    <w:basedOn w:val="8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30">
    <w:name w:val="Grid Table 6 Colorful"/>
    <w:basedOn w:val="86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1" w:customStyle="1">
    <w:name w:val="Grid Table 6 Colorful - Accent 1"/>
    <w:basedOn w:val="86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32" w:customStyle="1">
    <w:name w:val="Grid Table 6 Colorful - Accent 2"/>
    <w:basedOn w:val="86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33" w:customStyle="1">
    <w:name w:val="Grid Table 6 Colorful - Accent 3"/>
    <w:basedOn w:val="86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34" w:customStyle="1">
    <w:name w:val="Grid Table 6 Colorful - Accent 4"/>
    <w:basedOn w:val="86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35" w:customStyle="1">
    <w:name w:val="Grid Table 6 Colorful - Accent 5"/>
    <w:basedOn w:val="86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6" w:customStyle="1">
    <w:name w:val="Grid Table 6 Colorful - Accent 6"/>
    <w:basedOn w:val="86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7">
    <w:name w:val="Grid Table 7 Colorful"/>
    <w:basedOn w:val="86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7 Colorful - Accent 1"/>
    <w:basedOn w:val="86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7 Colorful - Accent 2"/>
    <w:basedOn w:val="86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7 Colorful - Accent 3"/>
    <w:basedOn w:val="86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7 Colorful - Accent 4"/>
    <w:basedOn w:val="86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7 Colorful - Accent 5"/>
    <w:basedOn w:val="86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7 Colorful - Accent 6"/>
    <w:basedOn w:val="86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1 Light"/>
    <w:basedOn w:val="86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1 Light - Accent 1"/>
    <w:basedOn w:val="86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1 Light - Accent 2"/>
    <w:basedOn w:val="86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1 Light - Accent 3"/>
    <w:basedOn w:val="86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1 Light - Accent 4"/>
    <w:basedOn w:val="86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1 Light - Accent 5"/>
    <w:basedOn w:val="86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1 Light - Accent 6"/>
    <w:basedOn w:val="86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2"/>
    <w:basedOn w:val="86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2" w:customStyle="1">
    <w:name w:val="List Table 2 - Accent 1"/>
    <w:basedOn w:val="86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53" w:customStyle="1">
    <w:name w:val="List Table 2 - Accent 2"/>
    <w:basedOn w:val="86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54" w:customStyle="1">
    <w:name w:val="List Table 2 - Accent 3"/>
    <w:basedOn w:val="86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55" w:customStyle="1">
    <w:name w:val="List Table 2 - Accent 4"/>
    <w:basedOn w:val="86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56" w:customStyle="1">
    <w:name w:val="List Table 2 - Accent 5"/>
    <w:basedOn w:val="86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57" w:customStyle="1">
    <w:name w:val="List Table 2 - Accent 6"/>
    <w:basedOn w:val="86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58">
    <w:name w:val="List Table 3"/>
    <w:basedOn w:val="8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3 - Accent 1"/>
    <w:basedOn w:val="86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3 - Accent 2"/>
    <w:basedOn w:val="86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3 - Accent 3"/>
    <w:basedOn w:val="86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3 - Accent 4"/>
    <w:basedOn w:val="86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3 - Accent 5"/>
    <w:basedOn w:val="86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3 - Accent 6"/>
    <w:basedOn w:val="86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4"/>
    <w:basedOn w:val="8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4 - Accent 1"/>
    <w:basedOn w:val="86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4 - Accent 2"/>
    <w:basedOn w:val="86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4 - Accent 3"/>
    <w:basedOn w:val="86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4 - Accent 4"/>
    <w:basedOn w:val="86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4 - Accent 5"/>
    <w:basedOn w:val="86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4 - Accent 6"/>
    <w:basedOn w:val="86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5 Dark"/>
    <w:basedOn w:val="86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3" w:customStyle="1">
    <w:name w:val="List Table 5 Dark - Accent 1"/>
    <w:basedOn w:val="86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4" w:customStyle="1">
    <w:name w:val="List Table 5 Dark - Accent 2"/>
    <w:basedOn w:val="86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5" w:customStyle="1">
    <w:name w:val="List Table 5 Dark - Accent 3"/>
    <w:basedOn w:val="86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6" w:customStyle="1">
    <w:name w:val="List Table 5 Dark - Accent 4"/>
    <w:basedOn w:val="86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7" w:customStyle="1">
    <w:name w:val="List Table 5 Dark - Accent 5"/>
    <w:basedOn w:val="86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8" w:customStyle="1">
    <w:name w:val="List Table 5 Dark - Accent 6"/>
    <w:basedOn w:val="86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>
    <w:name w:val="List Table 6 Colorful"/>
    <w:basedOn w:val="86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0" w:customStyle="1">
    <w:name w:val="List Table 6 Colorful - Accent 1"/>
    <w:basedOn w:val="86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81" w:customStyle="1">
    <w:name w:val="List Table 6 Colorful - Accent 2"/>
    <w:basedOn w:val="86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82" w:customStyle="1">
    <w:name w:val="List Table 6 Colorful - Accent 3"/>
    <w:basedOn w:val="86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83" w:customStyle="1">
    <w:name w:val="List Table 6 Colorful - Accent 4"/>
    <w:basedOn w:val="86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84" w:customStyle="1">
    <w:name w:val="List Table 6 Colorful - Accent 5"/>
    <w:basedOn w:val="86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85" w:customStyle="1">
    <w:name w:val="List Table 6 Colorful - Accent 6"/>
    <w:basedOn w:val="86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86">
    <w:name w:val="List Table 7 Colorful"/>
    <w:basedOn w:val="86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List Table 7 Colorful - Accent 1"/>
    <w:basedOn w:val="86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List Table 7 Colorful - Accent 2"/>
    <w:basedOn w:val="86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List Table 7 Colorful - Accent 3"/>
    <w:basedOn w:val="86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List Table 7 Colorful - Accent 4"/>
    <w:basedOn w:val="86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List Table 7 Colorful - Accent 5"/>
    <w:basedOn w:val="86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List Table 7 Colorful - Accent 6"/>
    <w:basedOn w:val="86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ned - Accent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4" w:customStyle="1">
    <w:name w:val="Lined - Accent 1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5" w:customStyle="1">
    <w:name w:val="Lined - Accent 2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6" w:customStyle="1">
    <w:name w:val="Lined - Accent 3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7" w:customStyle="1">
    <w:name w:val="Lined - Accent 4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8" w:customStyle="1">
    <w:name w:val="Lined - Accent 5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9" w:customStyle="1">
    <w:name w:val="Lined - Accent 6"/>
    <w:basedOn w:val="8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0" w:customStyle="1">
    <w:name w:val="Bordered &amp; Lined - Accent"/>
    <w:basedOn w:val="86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1" w:customStyle="1">
    <w:name w:val="Bordered &amp; Lined - Accent 1"/>
    <w:basedOn w:val="86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2" w:customStyle="1">
    <w:name w:val="Bordered &amp; Lined - Accent 2"/>
    <w:basedOn w:val="86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3" w:customStyle="1">
    <w:name w:val="Bordered &amp; Lined - Accent 3"/>
    <w:basedOn w:val="86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4" w:customStyle="1">
    <w:name w:val="Bordered &amp; Lined - Accent 4"/>
    <w:basedOn w:val="86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5" w:customStyle="1">
    <w:name w:val="Bordered &amp; Lined - Accent 5"/>
    <w:basedOn w:val="86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6" w:customStyle="1">
    <w:name w:val="Bordered &amp; Lined - Accent 6"/>
    <w:basedOn w:val="86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7" w:customStyle="1">
    <w:name w:val="Bordered"/>
    <w:basedOn w:val="86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8" w:customStyle="1">
    <w:name w:val="Bordered - Accent 1"/>
    <w:basedOn w:val="86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09" w:customStyle="1">
    <w:name w:val="Bordered - Accent 2"/>
    <w:basedOn w:val="86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10" w:customStyle="1">
    <w:name w:val="Bordered - Accent 3"/>
    <w:basedOn w:val="86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11" w:customStyle="1">
    <w:name w:val="Bordered - Accent 4"/>
    <w:basedOn w:val="86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12" w:customStyle="1">
    <w:name w:val="Bordered - Accent 5"/>
    <w:basedOn w:val="86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13" w:customStyle="1">
    <w:name w:val="Bordered - Accent 6"/>
    <w:basedOn w:val="86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14" w:customStyle="1">
    <w:name w:val="Footnote Text Char"/>
    <w:uiPriority w:val="99"/>
    <w:rPr>
      <w:sz w:val="18"/>
    </w:rPr>
  </w:style>
  <w:style w:type="character" w:styleId="1015" w:customStyle="1">
    <w:name w:val="Endnote Text Char"/>
    <w:uiPriority w:val="99"/>
    <w:rPr>
      <w:sz w:val="20"/>
    </w:rPr>
  </w:style>
  <w:style w:type="paragraph" w:styleId="1016">
    <w:name w:val="toc 1"/>
    <w:basedOn w:val="856"/>
    <w:next w:val="856"/>
    <w:uiPriority w:val="39"/>
    <w:unhideWhenUsed/>
    <w:pPr>
      <w:ind w:firstLine="0"/>
      <w:spacing w:after="57"/>
    </w:pPr>
  </w:style>
  <w:style w:type="paragraph" w:styleId="1017">
    <w:name w:val="toc 2"/>
    <w:basedOn w:val="856"/>
    <w:next w:val="856"/>
    <w:uiPriority w:val="39"/>
    <w:unhideWhenUsed/>
    <w:pPr>
      <w:ind w:left="283" w:firstLine="0"/>
      <w:spacing w:after="57"/>
    </w:pPr>
  </w:style>
  <w:style w:type="paragraph" w:styleId="1018">
    <w:name w:val="toc 3"/>
    <w:basedOn w:val="856"/>
    <w:next w:val="856"/>
    <w:uiPriority w:val="39"/>
    <w:unhideWhenUsed/>
    <w:pPr>
      <w:ind w:left="567" w:firstLine="0"/>
      <w:spacing w:after="57"/>
    </w:pPr>
  </w:style>
  <w:style w:type="paragraph" w:styleId="1019">
    <w:name w:val="toc 4"/>
    <w:basedOn w:val="856"/>
    <w:next w:val="856"/>
    <w:uiPriority w:val="39"/>
    <w:unhideWhenUsed/>
    <w:pPr>
      <w:ind w:left="850" w:firstLine="0"/>
      <w:spacing w:after="57"/>
    </w:pPr>
  </w:style>
  <w:style w:type="paragraph" w:styleId="1020">
    <w:name w:val="toc 5"/>
    <w:basedOn w:val="856"/>
    <w:next w:val="856"/>
    <w:uiPriority w:val="39"/>
    <w:unhideWhenUsed/>
    <w:pPr>
      <w:ind w:left="1134" w:firstLine="0"/>
      <w:spacing w:after="57"/>
    </w:pPr>
  </w:style>
  <w:style w:type="paragraph" w:styleId="1021">
    <w:name w:val="toc 6"/>
    <w:basedOn w:val="856"/>
    <w:next w:val="856"/>
    <w:uiPriority w:val="39"/>
    <w:unhideWhenUsed/>
    <w:pPr>
      <w:ind w:left="1417" w:firstLine="0"/>
      <w:spacing w:after="57"/>
    </w:pPr>
  </w:style>
  <w:style w:type="paragraph" w:styleId="1022">
    <w:name w:val="toc 7"/>
    <w:basedOn w:val="856"/>
    <w:next w:val="856"/>
    <w:uiPriority w:val="39"/>
    <w:unhideWhenUsed/>
    <w:pPr>
      <w:ind w:left="1701" w:firstLine="0"/>
      <w:spacing w:after="57"/>
    </w:pPr>
  </w:style>
  <w:style w:type="paragraph" w:styleId="1023">
    <w:name w:val="toc 8"/>
    <w:basedOn w:val="856"/>
    <w:next w:val="856"/>
    <w:uiPriority w:val="39"/>
    <w:unhideWhenUsed/>
    <w:pPr>
      <w:ind w:left="1984" w:firstLine="0"/>
      <w:spacing w:after="57"/>
    </w:pPr>
  </w:style>
  <w:style w:type="paragraph" w:styleId="1024">
    <w:name w:val="toc 9"/>
    <w:basedOn w:val="856"/>
    <w:next w:val="856"/>
    <w:uiPriority w:val="39"/>
    <w:unhideWhenUsed/>
    <w:pPr>
      <w:ind w:left="2268" w:firstLine="0"/>
      <w:spacing w:after="57"/>
    </w:pPr>
  </w:style>
  <w:style w:type="paragraph" w:styleId="1025">
    <w:name w:val="TOC Heading"/>
    <w:uiPriority w:val="39"/>
    <w:unhideWhenUsed/>
  </w:style>
  <w:style w:type="paragraph" w:styleId="1026">
    <w:name w:val="table of figures"/>
    <w:basedOn w:val="856"/>
    <w:next w:val="856"/>
    <w:uiPriority w:val="99"/>
    <w:unhideWhenUsed/>
  </w:style>
  <w:style w:type="paragraph" w:styleId="1027">
    <w:name w:val="Body Text 3"/>
    <w:basedOn w:val="856"/>
    <w:link w:val="1062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28">
    <w:name w:val="Header"/>
    <w:basedOn w:val="856"/>
    <w:link w:val="886"/>
    <w:pPr>
      <w:tabs>
        <w:tab w:val="center" w:pos="4677" w:leader="none"/>
        <w:tab w:val="right" w:pos="9355" w:leader="none"/>
      </w:tabs>
    </w:pPr>
  </w:style>
  <w:style w:type="paragraph" w:styleId="1029">
    <w:name w:val="Body Text"/>
    <w:basedOn w:val="856"/>
    <w:pPr>
      <w:spacing w:after="120"/>
    </w:pPr>
  </w:style>
  <w:style w:type="paragraph" w:styleId="1030" w:customStyle="1">
    <w:name w:val="Style1"/>
    <w:basedOn w:val="856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31">
    <w:name w:val="Body Text 2"/>
    <w:basedOn w:val="856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32" w:customStyle="1">
    <w:name w:val="Знак"/>
    <w:basedOn w:val="856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3">
    <w:name w:val="footnote text"/>
    <w:basedOn w:val="856"/>
    <w:link w:val="1078"/>
    <w:pPr>
      <w:ind w:firstLine="0"/>
      <w:jc w:val="left"/>
      <w:spacing w:line="240" w:lineRule="auto"/>
    </w:pPr>
    <w:rPr>
      <w:sz w:val="20"/>
      <w:szCs w:val="20"/>
    </w:rPr>
  </w:style>
  <w:style w:type="character" w:styleId="1034">
    <w:name w:val="footnote reference"/>
    <w:rPr>
      <w:vertAlign w:val="superscript"/>
    </w:rPr>
  </w:style>
  <w:style w:type="table" w:styleId="1035">
    <w:name w:val="Table Grid"/>
    <w:basedOn w:val="867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6" w:customStyle="1">
    <w:name w:val="Знак Знак Знак Знак Знак Знак Знак"/>
    <w:basedOn w:val="856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7" w:customStyle="1">
    <w:name w:val="Знак2"/>
    <w:basedOn w:val="856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8" w:customStyle="1">
    <w:name w:val="Знак Знак Знак Знак Знак Знак Знак Знак Знак"/>
    <w:basedOn w:val="856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39" w:customStyle="1">
    <w:name w:val="Пункт договора"/>
    <w:basedOn w:val="856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40" w:customStyle="1">
    <w:name w:val="Подпункт договора"/>
    <w:basedOn w:val="856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41">
    <w:name w:val="Body Text Indent 3"/>
    <w:basedOn w:val="856"/>
    <w:pPr>
      <w:ind w:left="283"/>
      <w:spacing w:after="120"/>
    </w:pPr>
    <w:rPr>
      <w:sz w:val="16"/>
      <w:szCs w:val="16"/>
    </w:rPr>
  </w:style>
  <w:style w:type="character" w:styleId="1042" w:customStyle="1">
    <w:name w:val="Заголовок 3 Знак"/>
    <w:link w:val="859"/>
    <w:rPr>
      <w:b/>
      <w:sz w:val="28"/>
    </w:rPr>
  </w:style>
  <w:style w:type="paragraph" w:styleId="1043">
    <w:name w:val="List Paragraph"/>
    <w:basedOn w:val="856"/>
    <w:link w:val="1089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44" w:customStyle="1">
    <w:name w:val="1. Статья"/>
    <w:basedOn w:val="859"/>
    <w:link w:val="1051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45" w:customStyle="1">
    <w:name w:val="2. Пункт"/>
    <w:basedOn w:val="859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46" w:customStyle="1">
    <w:name w:val="3. Подпункт"/>
    <w:basedOn w:val="859"/>
    <w:link w:val="1047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47" w:customStyle="1">
    <w:name w:val="3. Подпункт Знак"/>
    <w:link w:val="1046"/>
    <w:rPr>
      <w:b/>
      <w:bCs/>
      <w:sz w:val="24"/>
      <w:szCs w:val="24"/>
    </w:rPr>
  </w:style>
  <w:style w:type="paragraph" w:styleId="1048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49">
    <w:name w:val="Balloon Text"/>
    <w:basedOn w:val="856"/>
    <w:link w:val="1050"/>
    <w:pPr>
      <w:spacing w:line="240" w:lineRule="auto"/>
    </w:pPr>
    <w:rPr>
      <w:rFonts w:ascii="Tahoma" w:hAnsi="Tahoma"/>
      <w:sz w:val="16"/>
      <w:szCs w:val="16"/>
    </w:rPr>
  </w:style>
  <w:style w:type="character" w:styleId="1050" w:customStyle="1">
    <w:name w:val="Текст выноски Знак"/>
    <w:link w:val="1049"/>
    <w:rPr>
      <w:rFonts w:ascii="Tahoma" w:hAnsi="Tahoma" w:cs="Tahoma"/>
      <w:sz w:val="16"/>
      <w:szCs w:val="16"/>
    </w:rPr>
  </w:style>
  <w:style w:type="character" w:styleId="1051" w:customStyle="1">
    <w:name w:val="1. Статья Знак"/>
    <w:link w:val="1044"/>
    <w:rPr>
      <w:sz w:val="24"/>
      <w:szCs w:val="24"/>
    </w:rPr>
  </w:style>
  <w:style w:type="paragraph" w:styleId="1052" w:customStyle="1">
    <w:name w:val="4. Отчерк"/>
    <w:basedOn w:val="856"/>
    <w:link w:val="1053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053" w:customStyle="1">
    <w:name w:val="4. Отчерк Знак"/>
    <w:link w:val="1052"/>
    <w:rPr>
      <w:sz w:val="24"/>
      <w:szCs w:val="24"/>
    </w:rPr>
  </w:style>
  <w:style w:type="character" w:styleId="1054">
    <w:name w:val="annotation reference"/>
    <w:rPr>
      <w:sz w:val="16"/>
      <w:szCs w:val="16"/>
    </w:rPr>
  </w:style>
  <w:style w:type="paragraph" w:styleId="1055">
    <w:name w:val="annotation text"/>
    <w:basedOn w:val="856"/>
    <w:link w:val="1056"/>
    <w:pPr>
      <w:spacing w:line="240" w:lineRule="auto"/>
    </w:pPr>
    <w:rPr>
      <w:sz w:val="20"/>
      <w:szCs w:val="20"/>
    </w:rPr>
  </w:style>
  <w:style w:type="character" w:styleId="1056" w:customStyle="1">
    <w:name w:val="Текст примечания Знак"/>
    <w:link w:val="1055"/>
  </w:style>
  <w:style w:type="paragraph" w:styleId="1057">
    <w:name w:val="annotation subject"/>
    <w:basedOn w:val="1055"/>
    <w:next w:val="1055"/>
    <w:link w:val="1058"/>
    <w:rPr>
      <w:b/>
      <w:bCs/>
    </w:rPr>
  </w:style>
  <w:style w:type="character" w:styleId="1058" w:customStyle="1">
    <w:name w:val="Тема примечания Знак"/>
    <w:link w:val="1057"/>
    <w:rPr>
      <w:b/>
      <w:bCs/>
    </w:rPr>
  </w:style>
  <w:style w:type="paragraph" w:styleId="1059">
    <w:name w:val="Footer"/>
    <w:basedOn w:val="856"/>
    <w:link w:val="106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60" w:customStyle="1">
    <w:name w:val="Нижний колонтитул Знак"/>
    <w:link w:val="1059"/>
    <w:uiPriority w:val="99"/>
    <w:rPr>
      <w:sz w:val="28"/>
      <w:szCs w:val="28"/>
    </w:rPr>
  </w:style>
  <w:style w:type="paragraph" w:styleId="1061">
    <w:name w:val="Revision"/>
    <w:hidden/>
    <w:uiPriority w:val="99"/>
    <w:semiHidden/>
    <w:rPr>
      <w:sz w:val="28"/>
      <w:szCs w:val="28"/>
    </w:rPr>
  </w:style>
  <w:style w:type="character" w:styleId="1062" w:customStyle="1">
    <w:name w:val="Основной текст 3 Знак"/>
    <w:link w:val="1027"/>
    <w:rPr>
      <w:color w:val="0000ff"/>
      <w:sz w:val="24"/>
      <w:szCs w:val="24"/>
      <w:lang w:eastAsia="en-US"/>
    </w:rPr>
  </w:style>
  <w:style w:type="paragraph" w:styleId="1063">
    <w:name w:val="Title"/>
    <w:basedOn w:val="856"/>
    <w:link w:val="1064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064" w:customStyle="1">
    <w:name w:val="Заголовок Знак"/>
    <w:link w:val="1063"/>
    <w:rPr>
      <w:b/>
      <w:sz w:val="22"/>
      <w:szCs w:val="22"/>
      <w:shd w:val="clear" w:color="auto" w:fill="ffffff"/>
    </w:rPr>
  </w:style>
  <w:style w:type="character" w:styleId="1065" w:customStyle="1">
    <w:name w:val="Заголовок 1 Знак"/>
    <w:link w:val="857"/>
    <w:rPr>
      <w:rFonts w:ascii="Cambria" w:hAnsi="Cambria" w:eastAsia="Times New Roman" w:cs="Times New Roman"/>
      <w:b/>
      <w:bCs/>
      <w:sz w:val="32"/>
      <w:szCs w:val="32"/>
    </w:rPr>
  </w:style>
  <w:style w:type="character" w:styleId="1066" w:customStyle="1">
    <w:name w:val="Заголовок 2 Знак"/>
    <w:link w:val="858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067">
    <w:name w:val="Body Text Indent"/>
    <w:basedOn w:val="856"/>
    <w:link w:val="1068"/>
    <w:pPr>
      <w:ind w:left="283"/>
      <w:spacing w:after="120"/>
    </w:pPr>
  </w:style>
  <w:style w:type="character" w:styleId="1068" w:customStyle="1">
    <w:name w:val="Основной текст с отступом Знак"/>
    <w:link w:val="1067"/>
    <w:rPr>
      <w:sz w:val="28"/>
      <w:szCs w:val="28"/>
    </w:rPr>
  </w:style>
  <w:style w:type="paragraph" w:styleId="1069" w:customStyle="1">
    <w:name w:val="Пункт 3.3.3"/>
    <w:basedOn w:val="856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070" w:customStyle="1">
    <w:name w:val="Заглавие"/>
    <w:basedOn w:val="856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071">
    <w:name w:val="Caption"/>
    <w:basedOn w:val="856"/>
    <w:next w:val="856"/>
    <w:link w:val="88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07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073" w:customStyle="1">
    <w:name w:val="Знак1"/>
    <w:basedOn w:val="856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4" w:customStyle="1">
    <w:name w:val="Контракт-раздел"/>
    <w:basedOn w:val="856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075" w:customStyle="1">
    <w:name w:val="Контракт-пункт"/>
    <w:basedOn w:val="856"/>
    <w:pPr>
      <w:numPr>
        <w:ilvl w:val="1"/>
        <w:numId w:val="4"/>
      </w:numPr>
    </w:pPr>
  </w:style>
  <w:style w:type="paragraph" w:styleId="1076" w:customStyle="1">
    <w:name w:val="Контракт-подпункт"/>
    <w:basedOn w:val="856"/>
    <w:pPr>
      <w:numPr>
        <w:ilvl w:val="2"/>
        <w:numId w:val="4"/>
      </w:numPr>
    </w:pPr>
  </w:style>
  <w:style w:type="paragraph" w:styleId="1077" w:customStyle="1">
    <w:name w:val="Контракт-подподпункт"/>
    <w:basedOn w:val="856"/>
    <w:pPr>
      <w:numPr>
        <w:ilvl w:val="3"/>
        <w:numId w:val="4"/>
      </w:numPr>
    </w:pPr>
  </w:style>
  <w:style w:type="character" w:styleId="1078" w:customStyle="1">
    <w:name w:val="Текст сноски Знак"/>
    <w:link w:val="1033"/>
  </w:style>
  <w:style w:type="character" w:styleId="1079">
    <w:name w:val="Hyperlink"/>
    <w:unhideWhenUsed/>
    <w:rPr>
      <w:color w:val="0000ff"/>
      <w:u w:val="single"/>
    </w:rPr>
  </w:style>
  <w:style w:type="paragraph" w:styleId="1080">
    <w:name w:val="endnote text"/>
    <w:basedOn w:val="856"/>
    <w:link w:val="1081"/>
    <w:uiPriority w:val="99"/>
    <w:semiHidden/>
    <w:unhideWhenUsed/>
    <w:rPr>
      <w:sz w:val="20"/>
      <w:szCs w:val="20"/>
    </w:rPr>
  </w:style>
  <w:style w:type="character" w:styleId="1081" w:customStyle="1">
    <w:name w:val="Текст концевой сноски Знак"/>
    <w:link w:val="1080"/>
    <w:uiPriority w:val="99"/>
    <w:semiHidden/>
  </w:style>
  <w:style w:type="character" w:styleId="1082">
    <w:name w:val="endnote reference"/>
    <w:uiPriority w:val="99"/>
    <w:semiHidden/>
    <w:unhideWhenUsed/>
    <w:rPr>
      <w:vertAlign w:val="superscript"/>
    </w:rPr>
  </w:style>
  <w:style w:type="paragraph" w:styleId="1083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84" w:customStyle="1">
    <w:name w:val="Пункт_1"/>
    <w:basedOn w:val="856"/>
    <w:pPr>
      <w:numPr>
        <w:ilvl w:val="0"/>
        <w:numId w:val="19"/>
      </w:numPr>
      <w:keepNext/>
      <w:widowControl w:val="off"/>
    </w:pPr>
    <w:rPr>
      <w:b/>
      <w:bCs/>
    </w:rPr>
  </w:style>
  <w:style w:type="paragraph" w:styleId="1085" w:customStyle="1">
    <w:name w:val="Пункт_2"/>
    <w:basedOn w:val="856"/>
    <w:pPr>
      <w:numPr>
        <w:ilvl w:val="1"/>
        <w:numId w:val="19"/>
      </w:numPr>
      <w:widowControl w:val="off"/>
    </w:pPr>
  </w:style>
  <w:style w:type="paragraph" w:styleId="1086" w:customStyle="1">
    <w:name w:val="Знак Знак Знак2 Знак1 Знак Знак Знак Знак Знак Знак"/>
    <w:basedOn w:val="856"/>
    <w:pPr>
      <w:ind w:firstLine="0"/>
      <w:jc w:val="left"/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1087" w:customStyle="1">
    <w:name w:val="Знак Знак Знак2 Знак1 Знак Знак Знак Знак Знак Знак"/>
    <w:basedOn w:val="856"/>
    <w:pPr>
      <w:ind w:firstLine="0"/>
      <w:jc w:val="left"/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1088" w:customStyle="1">
    <w:name w:val="Font Style25"/>
    <w:uiPriority w:val="99"/>
    <w:rPr>
      <w:rFonts w:ascii="Times New Roman" w:hAnsi="Times New Roman" w:cs="Times New Roman"/>
      <w:sz w:val="22"/>
      <w:szCs w:val="22"/>
    </w:rPr>
  </w:style>
  <w:style w:type="character" w:styleId="1089" w:customStyle="1">
    <w:name w:val="Абзац списка Знак"/>
    <w:link w:val="1043"/>
    <w:uiPriority w:val="34"/>
    <w:rPr>
      <w:sz w:val="24"/>
      <w:szCs w:val="24"/>
    </w:rPr>
  </w:style>
  <w:style w:type="character" w:styleId="1090" w:customStyle="1">
    <w:name w:val="docdata"/>
    <w:basedOn w:val="866"/>
  </w:style>
  <w:style w:type="paragraph" w:styleId="1091" w:customStyle="1">
    <w:name w:val="Абзац списка;Алроса_маркер (Уровень 4);Маркер;ПАРАГРАФ;Абзац списка2;Table-Normal;RSHB_Table-Normal;Заголовок_3;Подпись рисунка"/>
    <w:basedOn w:val="858"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6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http://www.rushydro.ru/" TargetMode="External"/><Relationship Id="rId14" Type="http://schemas.openxmlformats.org/officeDocument/2006/relationships/hyperlink" Target="consultantplus://offline/ref=94D5CE8889791A29DE57299515463A9D6134D8237B999C803E6F853513x2A2P" TargetMode="External"/><Relationship Id="rId15" Type="http://schemas.openxmlformats.org/officeDocument/2006/relationships/hyperlink" Target="consultantplus://offline/ref=94D5CE8889791A29DE57299515463A9D6135D2287D929C803E6F853513x2A2P" TargetMode="External"/><Relationship Id="rId16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DC0C-7EC9-49AE-9438-488E0CB574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7AC49-4DDF-4243-A0CF-8CF8A3EB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shevchenko_ko</cp:lastModifiedBy>
  <cp:revision>78</cp:revision>
  <dcterms:created xsi:type="dcterms:W3CDTF">2023-07-19T05:57:00Z</dcterms:created>
  <dcterms:modified xsi:type="dcterms:W3CDTF">2026-02-04T06:41:10Z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